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ED587" w14:textId="77777777" w:rsidR="002E5F5B" w:rsidRPr="00E775B0" w:rsidRDefault="002E5F5B" w:rsidP="00E775B0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A3ED599" wp14:editId="2A3ED59A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F537" w14:textId="327DEB59" w:rsidR="0093743B" w:rsidRPr="006C4E78" w:rsidRDefault="00592D81" w:rsidP="003B7E7D">
      <w:pPr>
        <w:pStyle w:val="Heading1"/>
      </w:pPr>
      <w:r>
        <w:t>Who needs a Veterinary Practice P</w:t>
      </w:r>
      <w:r w:rsidR="009A0742">
        <w:t>ermit</w:t>
      </w:r>
      <w:r w:rsidR="00761E54">
        <w:t>?</w:t>
      </w:r>
    </w:p>
    <w:p w14:paraId="66EBE69E" w14:textId="7DA6DDC3" w:rsidR="0093743B" w:rsidRPr="006C4E78" w:rsidRDefault="00234748" w:rsidP="0093743B">
      <w:pPr>
        <w:pStyle w:val="Heading2"/>
      </w:pPr>
      <w:r>
        <w:t>Introduction</w:t>
      </w:r>
    </w:p>
    <w:p w14:paraId="0876D68D" w14:textId="1ACEDDBA" w:rsidR="00234748" w:rsidRDefault="00234748" w:rsidP="00234748">
      <w:r>
        <w:t xml:space="preserve">This information is intended for veterinary surgeons </w:t>
      </w:r>
      <w:r w:rsidR="00E50A28">
        <w:t>using</w:t>
      </w:r>
      <w:r>
        <w:t xml:space="preserve"> scheduled drugs to treat ani</w:t>
      </w:r>
      <w:r w:rsidR="00E50A28">
        <w:t>mals in Western Australia (WA).</w:t>
      </w:r>
    </w:p>
    <w:p w14:paraId="31D20E91" w14:textId="565CD842" w:rsidR="0021258C" w:rsidRDefault="00234748" w:rsidP="00234748">
      <w:pPr>
        <w:rPr>
          <w:rFonts w:cs="Arial"/>
          <w:szCs w:val="24"/>
        </w:rPr>
      </w:pPr>
      <w:r>
        <w:t xml:space="preserve">The controls over supply of </w:t>
      </w:r>
      <w:r w:rsidR="00893087">
        <w:t xml:space="preserve">Schedule 4 (prescription </w:t>
      </w:r>
      <w:r w:rsidR="00153FE6">
        <w:t>only</w:t>
      </w:r>
      <w:r w:rsidR="00893087">
        <w:t xml:space="preserve">) and Schedule 8 (controlled drugs) </w:t>
      </w:r>
      <w:r w:rsidR="00592D81">
        <w:t>substances</w:t>
      </w:r>
      <w:r>
        <w:t xml:space="preserve"> in WA are through the Medici</w:t>
      </w:r>
      <w:r w:rsidR="00E50A28">
        <w:t>n</w:t>
      </w:r>
      <w:r w:rsidR="004C6ACB">
        <w:t xml:space="preserve">es and Poisons Act 2014 and </w:t>
      </w:r>
      <w:r w:rsidR="00E50A28">
        <w:t xml:space="preserve">Medicines and Poisons Regulations 2016. </w:t>
      </w:r>
      <w:r w:rsidR="004C6ACB">
        <w:t>A</w:t>
      </w:r>
      <w:r w:rsidR="0021258C">
        <w:t xml:space="preserve"> V</w:t>
      </w:r>
      <w:r w:rsidR="00893087">
        <w:t>eterinary Practice Permit</w:t>
      </w:r>
      <w:r w:rsidR="00592D81">
        <w:t xml:space="preserve"> (a Permit)</w:t>
      </w:r>
      <w:r w:rsidR="00893087">
        <w:t xml:space="preserve"> can be issued for the purpose of purchasing </w:t>
      </w:r>
      <w:r w:rsidR="00153FE6">
        <w:t xml:space="preserve">scheduled </w:t>
      </w:r>
      <w:r w:rsidR="00893087">
        <w:t>drugs for use i</w:t>
      </w:r>
      <w:r w:rsidR="003B7E7D">
        <w:t xml:space="preserve">n providing veterinary services </w:t>
      </w:r>
      <w:r w:rsidR="003B7E7D">
        <w:rPr>
          <w:rFonts w:cs="Arial"/>
          <w:szCs w:val="24"/>
        </w:rPr>
        <w:t xml:space="preserve">and the </w:t>
      </w:r>
      <w:hyperlink r:id="rId10" w:history="1">
        <w:r w:rsidR="003B7E7D">
          <w:rPr>
            <w:rStyle w:val="Hyperlink"/>
            <w:rFonts w:cs="Arial"/>
            <w:szCs w:val="24"/>
          </w:rPr>
          <w:t>application form</w:t>
        </w:r>
      </w:hyperlink>
      <w:r w:rsidR="003B7E7D">
        <w:rPr>
          <w:rFonts w:cs="Arial"/>
          <w:szCs w:val="24"/>
        </w:rPr>
        <w:t xml:space="preserve"> is</w:t>
      </w:r>
      <w:r w:rsidR="003B7E7D" w:rsidRPr="00234748">
        <w:rPr>
          <w:rFonts w:cs="Arial"/>
          <w:szCs w:val="24"/>
        </w:rPr>
        <w:t xml:space="preserve"> available on t</w:t>
      </w:r>
      <w:r w:rsidR="003B7E7D">
        <w:rPr>
          <w:rFonts w:cs="Arial"/>
          <w:szCs w:val="24"/>
        </w:rPr>
        <w:t>he Department of Health website.</w:t>
      </w:r>
    </w:p>
    <w:p w14:paraId="087BF008" w14:textId="77777777" w:rsidR="00592D81" w:rsidRDefault="00153469" w:rsidP="00592D81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Individual veterinary surgeons do not require a Permit where they are</w:t>
      </w:r>
      <w:r w:rsidR="00FC20CD">
        <w:rPr>
          <w:rFonts w:cs="Arial"/>
          <w:szCs w:val="24"/>
        </w:rPr>
        <w:t xml:space="preserve"> purchasing </w:t>
      </w:r>
      <w:r>
        <w:rPr>
          <w:rFonts w:cs="Arial"/>
          <w:szCs w:val="24"/>
        </w:rPr>
        <w:t>drugs</w:t>
      </w:r>
    </w:p>
    <w:p w14:paraId="76DC85BE" w14:textId="77777777" w:rsidR="00592D81" w:rsidRPr="00592D81" w:rsidRDefault="00FC20CD" w:rsidP="00592D81">
      <w:pPr>
        <w:pStyle w:val="ListParagraph"/>
        <w:numPr>
          <w:ilvl w:val="0"/>
          <w:numId w:val="12"/>
        </w:numPr>
      </w:pPr>
      <w:r w:rsidRPr="00592D81">
        <w:rPr>
          <w:rFonts w:cs="Arial"/>
          <w:szCs w:val="24"/>
        </w:rPr>
        <w:t xml:space="preserve">in their own name, </w:t>
      </w:r>
    </w:p>
    <w:p w14:paraId="7EAE1696" w14:textId="77777777" w:rsidR="00592D81" w:rsidRPr="00592D81" w:rsidRDefault="00FC20CD" w:rsidP="00592D81">
      <w:pPr>
        <w:pStyle w:val="ListParagraph"/>
        <w:numPr>
          <w:ilvl w:val="0"/>
          <w:numId w:val="12"/>
        </w:numPr>
      </w:pPr>
      <w:r w:rsidRPr="00592D81">
        <w:rPr>
          <w:rFonts w:cs="Arial"/>
          <w:szCs w:val="24"/>
        </w:rPr>
        <w:t xml:space="preserve">for their exclusive use and </w:t>
      </w:r>
    </w:p>
    <w:p w14:paraId="2EFC3215" w14:textId="4D5D4FDE" w:rsidR="00FC20CD" w:rsidRDefault="00FC20CD" w:rsidP="00592D81">
      <w:pPr>
        <w:pStyle w:val="ListParagraph"/>
        <w:numPr>
          <w:ilvl w:val="0"/>
          <w:numId w:val="12"/>
        </w:numPr>
      </w:pPr>
      <w:proofErr w:type="gramStart"/>
      <w:r w:rsidRPr="00592D81">
        <w:rPr>
          <w:rFonts w:cs="Arial"/>
          <w:szCs w:val="24"/>
        </w:rPr>
        <w:t>where</w:t>
      </w:r>
      <w:proofErr w:type="gramEnd"/>
      <w:r w:rsidRPr="00592D81">
        <w:rPr>
          <w:rFonts w:cs="Arial"/>
          <w:szCs w:val="24"/>
        </w:rPr>
        <w:t xml:space="preserve"> the </w:t>
      </w:r>
      <w:r w:rsidR="00153469" w:rsidRPr="00592D81">
        <w:rPr>
          <w:rFonts w:cs="Arial"/>
          <w:szCs w:val="24"/>
        </w:rPr>
        <w:t>drugs</w:t>
      </w:r>
      <w:r w:rsidRPr="00592D81">
        <w:rPr>
          <w:rFonts w:cs="Arial"/>
          <w:szCs w:val="24"/>
        </w:rPr>
        <w:t xml:space="preserve"> are stored at</w:t>
      </w:r>
      <w:r w:rsidR="00592D81" w:rsidRPr="00592D81">
        <w:rPr>
          <w:rFonts w:cs="Arial"/>
          <w:szCs w:val="24"/>
        </w:rPr>
        <w:t xml:space="preserve"> the registered veterinary clinic or hospital that i</w:t>
      </w:r>
      <w:r w:rsidR="00592D81">
        <w:rPr>
          <w:rFonts w:cs="Arial"/>
          <w:szCs w:val="24"/>
        </w:rPr>
        <w:t xml:space="preserve">s their </w:t>
      </w:r>
      <w:r w:rsidR="00592D81" w:rsidRPr="00592D81">
        <w:rPr>
          <w:rFonts w:cs="Arial"/>
          <w:szCs w:val="24"/>
        </w:rPr>
        <w:t>usual place of practice.</w:t>
      </w:r>
    </w:p>
    <w:p w14:paraId="072C4CF6" w14:textId="3EC9FEBA" w:rsidR="0093743B" w:rsidRPr="007A7BA9" w:rsidRDefault="00234748" w:rsidP="007A7BA9">
      <w:pPr>
        <w:pStyle w:val="Heading2"/>
      </w:pPr>
      <w:r>
        <w:t xml:space="preserve">Veterinary </w:t>
      </w:r>
      <w:r w:rsidR="00E50A28">
        <w:t>practices and hospitals</w:t>
      </w:r>
    </w:p>
    <w:p w14:paraId="0A61428A" w14:textId="4A4F3A1B" w:rsidR="00234748" w:rsidRDefault="00FC20CD" w:rsidP="00A32474">
      <w:r>
        <w:t>A P</w:t>
      </w:r>
      <w:r w:rsidR="00234748">
        <w:t xml:space="preserve">ermit is required if the veterinary </w:t>
      </w:r>
      <w:r w:rsidR="00F30844">
        <w:t>clinic</w:t>
      </w:r>
      <w:r w:rsidR="00234748">
        <w:t xml:space="preserve"> or hospital (as a business entity) wishes to purchas</w:t>
      </w:r>
      <w:r w:rsidR="00153469">
        <w:t xml:space="preserve">e scheduled drugs for use by </w:t>
      </w:r>
      <w:r>
        <w:t>multiple</w:t>
      </w:r>
      <w:r w:rsidR="00234748">
        <w:t xml:space="preserve"> veterinary surgeon</w:t>
      </w:r>
      <w:r>
        <w:t>s</w:t>
      </w:r>
      <w:r w:rsidR="00234748">
        <w:t xml:space="preserve"> at the practice.</w:t>
      </w:r>
    </w:p>
    <w:p w14:paraId="1FD4DDE9" w14:textId="372F4CC5" w:rsidR="00234748" w:rsidRPr="00893087" w:rsidRDefault="00FC20CD" w:rsidP="00A32474">
      <w:r w:rsidRPr="00A32474">
        <w:rPr>
          <w:szCs w:val="24"/>
        </w:rPr>
        <w:t xml:space="preserve">The permit holder has overall responsibility </w:t>
      </w:r>
      <w:r w:rsidR="00234748" w:rsidRPr="00A32474">
        <w:rPr>
          <w:szCs w:val="24"/>
        </w:rPr>
        <w:t>for compliance with the Medicines and Poisons legislation</w:t>
      </w:r>
      <w:r w:rsidRPr="00A32474">
        <w:rPr>
          <w:szCs w:val="24"/>
        </w:rPr>
        <w:t xml:space="preserve"> at the practice,</w:t>
      </w:r>
      <w:r w:rsidR="00234748" w:rsidRPr="00A32474">
        <w:rPr>
          <w:szCs w:val="24"/>
        </w:rPr>
        <w:t xml:space="preserve"> including the </w:t>
      </w:r>
      <w:r w:rsidR="00234748" w:rsidRPr="00A32474">
        <w:rPr>
          <w:szCs w:val="24"/>
          <w:lang w:val="en-US"/>
        </w:rPr>
        <w:t>purchase, storage, security and</w:t>
      </w:r>
      <w:r w:rsidR="00234748" w:rsidRPr="00A32474">
        <w:rPr>
          <w:szCs w:val="24"/>
        </w:rPr>
        <w:t xml:space="preserve"> </w:t>
      </w:r>
      <w:r w:rsidR="00234748" w:rsidRPr="00A32474">
        <w:rPr>
          <w:szCs w:val="24"/>
          <w:lang w:val="en-US"/>
        </w:rPr>
        <w:t>records of the supply and use of the scheduled drugs.</w:t>
      </w:r>
      <w:r w:rsidR="0021258C" w:rsidRPr="00A32474">
        <w:rPr>
          <w:szCs w:val="24"/>
          <w:lang w:val="en-US"/>
        </w:rPr>
        <w:t xml:space="preserve"> It is recommended </w:t>
      </w:r>
      <w:r w:rsidR="003B7E7D" w:rsidRPr="00A32474">
        <w:rPr>
          <w:szCs w:val="24"/>
          <w:lang w:val="en-US"/>
        </w:rPr>
        <w:t xml:space="preserve">permit holders </w:t>
      </w:r>
      <w:r w:rsidR="00153FE6" w:rsidRPr="00A32474">
        <w:rPr>
          <w:szCs w:val="24"/>
          <w:lang w:val="en-US"/>
        </w:rPr>
        <w:t>ensure</w:t>
      </w:r>
      <w:r w:rsidR="0021258C" w:rsidRPr="00A32474">
        <w:rPr>
          <w:szCs w:val="24"/>
          <w:lang w:val="en-US"/>
        </w:rPr>
        <w:t xml:space="preserve"> written policies and procedures </w:t>
      </w:r>
      <w:r w:rsidR="00153FE6" w:rsidRPr="00A32474">
        <w:rPr>
          <w:szCs w:val="24"/>
          <w:lang w:val="en-US"/>
        </w:rPr>
        <w:t xml:space="preserve">are </w:t>
      </w:r>
      <w:r w:rsidR="0021258C" w:rsidRPr="00A32474">
        <w:rPr>
          <w:szCs w:val="24"/>
          <w:lang w:val="en-US"/>
        </w:rPr>
        <w:t xml:space="preserve">available </w:t>
      </w:r>
      <w:r w:rsidR="00153FE6" w:rsidRPr="00A32474">
        <w:rPr>
          <w:szCs w:val="24"/>
          <w:lang w:val="en-US"/>
        </w:rPr>
        <w:t>so</w:t>
      </w:r>
      <w:r w:rsidR="0021258C" w:rsidRPr="00A32474">
        <w:rPr>
          <w:szCs w:val="24"/>
          <w:lang w:val="en-US"/>
        </w:rPr>
        <w:t xml:space="preserve"> all staff at the practice unde</w:t>
      </w:r>
      <w:r w:rsidR="003B7E7D" w:rsidRPr="00A32474">
        <w:rPr>
          <w:szCs w:val="24"/>
          <w:lang w:val="en-US"/>
        </w:rPr>
        <w:t>rstand their responsibilities</w:t>
      </w:r>
      <w:r w:rsidR="00153FE6" w:rsidRPr="00A32474">
        <w:rPr>
          <w:szCs w:val="24"/>
          <w:lang w:val="en-US"/>
        </w:rPr>
        <w:t xml:space="preserve"> </w:t>
      </w:r>
      <w:r w:rsidR="003B7E7D" w:rsidRPr="00A32474">
        <w:rPr>
          <w:szCs w:val="24"/>
          <w:lang w:val="en-US"/>
        </w:rPr>
        <w:t>when</w:t>
      </w:r>
      <w:r w:rsidR="0021258C" w:rsidRPr="00A32474">
        <w:rPr>
          <w:szCs w:val="24"/>
          <w:lang w:val="en-US"/>
        </w:rPr>
        <w:t xml:space="preserve"> handling scheduled drugs.</w:t>
      </w:r>
    </w:p>
    <w:p w14:paraId="59D425FD" w14:textId="75DAE493" w:rsidR="00893087" w:rsidRPr="00C72B9B" w:rsidRDefault="00893087" w:rsidP="00A32474">
      <w:r w:rsidRPr="00A32474">
        <w:rPr>
          <w:szCs w:val="24"/>
          <w:lang w:val="en-US"/>
        </w:rPr>
        <w:t xml:space="preserve">Although a licensed wholesaler can only deliver to the practice address, individual veterinary surgeons </w:t>
      </w:r>
      <w:r w:rsidR="00FC20CD" w:rsidRPr="00A32474">
        <w:rPr>
          <w:szCs w:val="24"/>
          <w:lang w:val="en-US"/>
        </w:rPr>
        <w:t xml:space="preserve">working at the practice </w:t>
      </w:r>
      <w:r w:rsidR="00A32474" w:rsidRPr="00A32474">
        <w:rPr>
          <w:szCs w:val="24"/>
          <w:lang w:val="en-US"/>
        </w:rPr>
        <w:t>can</w:t>
      </w:r>
      <w:r w:rsidRPr="00A32474">
        <w:rPr>
          <w:szCs w:val="24"/>
          <w:lang w:val="en-US"/>
        </w:rPr>
        <w:t xml:space="preserve"> </w:t>
      </w:r>
      <w:r w:rsidR="00C72B9B" w:rsidRPr="00A32474">
        <w:rPr>
          <w:szCs w:val="24"/>
          <w:lang w:val="en-US"/>
        </w:rPr>
        <w:t>use scheduled drugs both at</w:t>
      </w:r>
      <w:r w:rsidR="00FC20CD" w:rsidRPr="00A32474">
        <w:rPr>
          <w:szCs w:val="24"/>
          <w:lang w:val="en-US"/>
        </w:rPr>
        <w:t xml:space="preserve"> the practice</w:t>
      </w:r>
      <w:r w:rsidR="00C72B9B" w:rsidRPr="00A32474">
        <w:rPr>
          <w:szCs w:val="24"/>
          <w:lang w:val="en-US"/>
        </w:rPr>
        <w:t xml:space="preserve"> and when treating patients at other locations, such as</w:t>
      </w:r>
      <w:r w:rsidR="003B7E7D" w:rsidRPr="00A32474">
        <w:rPr>
          <w:szCs w:val="24"/>
          <w:lang w:val="en-US"/>
        </w:rPr>
        <w:t xml:space="preserve"> at</w:t>
      </w:r>
      <w:r w:rsidR="00C72B9B" w:rsidRPr="00A32474">
        <w:rPr>
          <w:szCs w:val="24"/>
          <w:lang w:val="en-US"/>
        </w:rPr>
        <w:t xml:space="preserve"> the </w:t>
      </w:r>
      <w:r w:rsidR="003B7E7D" w:rsidRPr="00A32474">
        <w:rPr>
          <w:szCs w:val="24"/>
          <w:lang w:val="en-US"/>
        </w:rPr>
        <w:t>client’s</w:t>
      </w:r>
      <w:r w:rsidR="00C72B9B" w:rsidRPr="00A32474">
        <w:rPr>
          <w:szCs w:val="24"/>
          <w:lang w:val="en-US"/>
        </w:rPr>
        <w:t xml:space="preserve"> home or at a farm.</w:t>
      </w:r>
    </w:p>
    <w:p w14:paraId="6005E065" w14:textId="5BF52696" w:rsidR="00C72B9B" w:rsidRDefault="00C72B9B" w:rsidP="00A32474">
      <w:r w:rsidRPr="00A32474">
        <w:rPr>
          <w:szCs w:val="24"/>
          <w:lang w:val="en-US"/>
        </w:rPr>
        <w:t>When taking drugs away from the practice, the drugs must remain in the veterinary su</w:t>
      </w:r>
      <w:r w:rsidR="003B7E7D" w:rsidRPr="00A32474">
        <w:rPr>
          <w:szCs w:val="24"/>
          <w:lang w:val="en-US"/>
        </w:rPr>
        <w:t xml:space="preserve">rgeon’s possession at all times. </w:t>
      </w:r>
      <w:r w:rsidRPr="00A32474">
        <w:rPr>
          <w:szCs w:val="24"/>
          <w:lang w:val="en-US"/>
        </w:rPr>
        <w:t>Drugs are to be transported in a “doctor’s bag” or in a locked container attached to the body of the veterinary surgeon’s vehicle.</w:t>
      </w:r>
    </w:p>
    <w:p w14:paraId="184CBD35" w14:textId="2B584185" w:rsidR="00234748" w:rsidRDefault="00E50A28" w:rsidP="00234748">
      <w:pPr>
        <w:pStyle w:val="Heading2"/>
      </w:pPr>
      <w:r>
        <w:t xml:space="preserve">Mobile </w:t>
      </w:r>
      <w:r w:rsidR="00AA7466">
        <w:t xml:space="preserve">only </w:t>
      </w:r>
      <w:r>
        <w:t>veterinary practices</w:t>
      </w:r>
    </w:p>
    <w:p w14:paraId="7B2447F3" w14:textId="7EB08EA2" w:rsidR="00A32474" w:rsidRDefault="00A32474" w:rsidP="00A32474">
      <w:r w:rsidRPr="00A32474">
        <w:t xml:space="preserve">A </w:t>
      </w:r>
      <w:r w:rsidR="00592D81">
        <w:t>Permit</w:t>
      </w:r>
      <w:r w:rsidRPr="00A32474">
        <w:t xml:space="preserve"> is always required by veterinary surgeons who wish to operate a mobile only veterinary business. </w:t>
      </w:r>
    </w:p>
    <w:p w14:paraId="01D91CD8" w14:textId="39E93601" w:rsidR="00462F8D" w:rsidRPr="00462F8D" w:rsidRDefault="00A32474" w:rsidP="00462F8D">
      <w:pPr>
        <w:pStyle w:val="Heading3"/>
      </w:pPr>
      <w:r>
        <w:lastRenderedPageBreak/>
        <w:t>Storage</w:t>
      </w:r>
    </w:p>
    <w:p w14:paraId="0EE1D5FA" w14:textId="228BD52F" w:rsidR="00C72B9B" w:rsidRPr="00044B64" w:rsidRDefault="00044B64" w:rsidP="00044B64">
      <w:pPr>
        <w:pStyle w:val="ListParagraph"/>
        <w:numPr>
          <w:ilvl w:val="0"/>
          <w:numId w:val="7"/>
        </w:numPr>
        <w:rPr>
          <w:rFonts w:eastAsia="Calibri" w:cs="Times New Roman"/>
          <w:lang w:val="en-US"/>
        </w:rPr>
      </w:pPr>
      <w:r w:rsidRPr="00044B64">
        <w:rPr>
          <w:rFonts w:eastAsia="Calibri" w:cs="Times New Roman"/>
          <w:lang w:val="en-US"/>
        </w:rPr>
        <w:t>Permits will only be issued with a single storage address</w:t>
      </w:r>
      <w:r w:rsidR="004C6ACB">
        <w:rPr>
          <w:rFonts w:eastAsia="Calibri" w:cs="Times New Roman"/>
          <w:lang w:val="en-US"/>
        </w:rPr>
        <w:t>, usually the veterinary surgeon’s home address</w:t>
      </w:r>
      <w:r w:rsidRPr="00044B64">
        <w:rPr>
          <w:rFonts w:eastAsia="Calibri" w:cs="Times New Roman"/>
          <w:lang w:val="en-US"/>
        </w:rPr>
        <w:t>.</w:t>
      </w:r>
    </w:p>
    <w:p w14:paraId="7A644BC2" w14:textId="6289D487" w:rsidR="00462F8D" w:rsidRPr="00F30844" w:rsidRDefault="00462F8D" w:rsidP="00462F8D">
      <w:pPr>
        <w:pStyle w:val="ListParagraph"/>
        <w:numPr>
          <w:ilvl w:val="0"/>
          <w:numId w:val="7"/>
        </w:numPr>
      </w:pPr>
      <w:r>
        <w:rPr>
          <w:rFonts w:eastAsia="Calibri" w:cs="Times New Roman"/>
          <w:lang w:val="en-US"/>
        </w:rPr>
        <w:t>Where the mobile veterinary surgeon takes quantities of drug</w:t>
      </w:r>
      <w:r w:rsidR="003B7E7D">
        <w:rPr>
          <w:rFonts w:eastAsia="Calibri" w:cs="Times New Roman"/>
          <w:lang w:val="en-US"/>
        </w:rPr>
        <w:t>s away from the storage address</w:t>
      </w:r>
      <w:r>
        <w:rPr>
          <w:rFonts w:eastAsia="Calibri" w:cs="Times New Roman"/>
          <w:lang w:val="en-US"/>
        </w:rPr>
        <w:t xml:space="preserve"> to treat their patients, these drugs are to be</w:t>
      </w:r>
      <w:r>
        <w:rPr>
          <w:szCs w:val="24"/>
          <w:lang w:val="en-US"/>
        </w:rPr>
        <w:t xml:space="preserve"> transported in a “doctor’s bag” or in a locked container attached to the body of the veterinary surgeon’s vehicle.</w:t>
      </w:r>
    </w:p>
    <w:p w14:paraId="1787868E" w14:textId="42CDC3AE" w:rsidR="004C6ACB" w:rsidRPr="004C6ACB" w:rsidRDefault="00153469" w:rsidP="004C6ACB">
      <w:pPr>
        <w:pStyle w:val="ListParagraph"/>
        <w:numPr>
          <w:ilvl w:val="0"/>
          <w:numId w:val="7"/>
        </w:numPr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At all other times, S</w:t>
      </w:r>
      <w:r w:rsidR="00462F8D" w:rsidRPr="001F5779">
        <w:rPr>
          <w:rFonts w:eastAsia="Calibri" w:cs="Times New Roman"/>
          <w:lang w:val="en-US"/>
        </w:rPr>
        <w:t xml:space="preserve">chedule 4 drugs must be stored in a locked cupboard or locked room. </w:t>
      </w:r>
      <w:r w:rsidR="004C6ACB">
        <w:rPr>
          <w:rFonts w:eastAsia="Calibri" w:cs="Times New Roman"/>
          <w:lang w:val="en-US"/>
        </w:rPr>
        <w:t>A</w:t>
      </w:r>
      <w:r w:rsidR="00462F8D" w:rsidRPr="001F5779">
        <w:rPr>
          <w:rFonts w:eastAsia="Calibri" w:cs="Times New Roman"/>
          <w:lang w:val="en-US"/>
        </w:rPr>
        <w:t xml:space="preserve"> </w:t>
      </w:r>
      <w:r w:rsidR="00462F8D">
        <w:rPr>
          <w:rFonts w:eastAsia="Calibri" w:cs="Times New Roman"/>
          <w:lang w:val="en-US"/>
        </w:rPr>
        <w:t xml:space="preserve">locked </w:t>
      </w:r>
      <w:r w:rsidR="00462F8D" w:rsidRPr="001F5779">
        <w:rPr>
          <w:rFonts w:eastAsia="Calibri" w:cs="Times New Roman"/>
          <w:lang w:val="en-US"/>
        </w:rPr>
        <w:t>refrigerator</w:t>
      </w:r>
      <w:r w:rsidR="00462F8D">
        <w:rPr>
          <w:rFonts w:eastAsia="Calibri" w:cs="Times New Roman"/>
          <w:lang w:val="en-US"/>
        </w:rPr>
        <w:t xml:space="preserve"> or refrigerator in a locked room</w:t>
      </w:r>
      <w:r w:rsidR="00462F8D" w:rsidRPr="001F5779">
        <w:rPr>
          <w:rFonts w:eastAsia="Calibri" w:cs="Times New Roman"/>
          <w:lang w:val="en-US"/>
        </w:rPr>
        <w:t xml:space="preserve"> may</w:t>
      </w:r>
      <w:r w:rsidR="004C6ACB">
        <w:rPr>
          <w:rFonts w:eastAsia="Calibri" w:cs="Times New Roman"/>
          <w:lang w:val="en-US"/>
        </w:rPr>
        <w:t xml:space="preserve"> also </w:t>
      </w:r>
      <w:r w:rsidR="00462F8D" w:rsidRPr="001F5779">
        <w:rPr>
          <w:rFonts w:eastAsia="Calibri" w:cs="Times New Roman"/>
          <w:lang w:val="en-US"/>
        </w:rPr>
        <w:t>be required</w:t>
      </w:r>
      <w:r w:rsidR="00462F8D">
        <w:rPr>
          <w:rFonts w:eastAsia="Calibri" w:cs="Times New Roman"/>
          <w:lang w:val="en-US"/>
        </w:rPr>
        <w:t>.</w:t>
      </w:r>
      <w:r w:rsidR="00462F8D" w:rsidRPr="001F5779">
        <w:rPr>
          <w:rFonts w:eastAsia="Calibri" w:cs="Times New Roman"/>
          <w:lang w:val="en-US"/>
        </w:rPr>
        <w:t xml:space="preserve"> </w:t>
      </w:r>
      <w:r w:rsidR="00462F8D" w:rsidRPr="004C6ACB">
        <w:rPr>
          <w:rFonts w:eastAsia="Calibri" w:cs="Times New Roman"/>
          <w:lang w:val="en-US"/>
        </w:rPr>
        <w:t xml:space="preserve">Schedule 8 drugs must be stored in an </w:t>
      </w:r>
      <w:hyperlink r:id="rId11" w:history="1">
        <w:r w:rsidR="00462F8D" w:rsidRPr="004C6ACB">
          <w:rPr>
            <w:rStyle w:val="Hyperlink"/>
            <w:rFonts w:eastAsia="Calibri" w:cs="Times New Roman"/>
            <w:lang w:val="en-US"/>
          </w:rPr>
          <w:t>approved safe</w:t>
        </w:r>
      </w:hyperlink>
      <w:r w:rsidR="00462F8D" w:rsidRPr="004C6ACB">
        <w:rPr>
          <w:rFonts w:eastAsia="Calibri" w:cs="Times New Roman"/>
          <w:lang w:val="en-US"/>
        </w:rPr>
        <w:t>.</w:t>
      </w:r>
      <w:r w:rsidR="004C6ACB" w:rsidRPr="004C6ACB">
        <w:rPr>
          <w:rFonts w:eastAsia="Calibri" w:cs="Times New Roman"/>
          <w:lang w:val="en-US"/>
        </w:rPr>
        <w:t xml:space="preserve"> </w:t>
      </w:r>
    </w:p>
    <w:p w14:paraId="52DA1F21" w14:textId="1669578E" w:rsidR="00462F8D" w:rsidRPr="004C6ACB" w:rsidRDefault="004C6ACB" w:rsidP="004C6ACB">
      <w:pPr>
        <w:pStyle w:val="ListParagraph"/>
        <w:numPr>
          <w:ilvl w:val="0"/>
          <w:numId w:val="7"/>
        </w:numPr>
      </w:pPr>
      <w:r>
        <w:rPr>
          <w:rFonts w:eastAsia="Calibri" w:cs="Times New Roman"/>
          <w:lang w:val="en-US"/>
        </w:rPr>
        <w:t xml:space="preserve">Other </w:t>
      </w:r>
      <w:r w:rsidRPr="00433B93">
        <w:rPr>
          <w:rFonts w:eastAsia="Calibri" w:cs="Times New Roman"/>
          <w:lang w:val="en-US"/>
        </w:rPr>
        <w:t>household members must not be able to access the drugs</w:t>
      </w:r>
      <w:r>
        <w:rPr>
          <w:rFonts w:eastAsia="Calibri" w:cs="Times New Roman"/>
          <w:lang w:val="en-US"/>
        </w:rPr>
        <w:t xml:space="preserve">, including </w:t>
      </w:r>
      <w:r w:rsidR="003B7E7D">
        <w:rPr>
          <w:rFonts w:eastAsia="Calibri" w:cs="Times New Roman"/>
          <w:lang w:val="en-US"/>
        </w:rPr>
        <w:t>accepting deliveries.</w:t>
      </w:r>
      <w:r w:rsidRPr="00462F8D">
        <w:rPr>
          <w:rFonts w:eastAsia="Calibri" w:cs="Times New Roman"/>
          <w:lang w:val="en-US"/>
        </w:rPr>
        <w:t xml:space="preserve"> </w:t>
      </w:r>
    </w:p>
    <w:p w14:paraId="68A797FF" w14:textId="6AFDB4BD" w:rsidR="00462F8D" w:rsidRPr="00462F8D" w:rsidRDefault="00A32474" w:rsidP="00462F8D">
      <w:pPr>
        <w:pStyle w:val="Heading3"/>
        <w:rPr>
          <w:rFonts w:eastAsia="Calibri"/>
          <w:lang w:val="en-US"/>
        </w:rPr>
      </w:pPr>
      <w:r>
        <w:rPr>
          <w:rFonts w:eastAsia="Calibri"/>
          <w:lang w:val="en-US"/>
        </w:rPr>
        <w:t>Delivery</w:t>
      </w:r>
    </w:p>
    <w:p w14:paraId="6DD0EBE2" w14:textId="086CD9CA" w:rsidR="00462F8D" w:rsidRDefault="00044B64" w:rsidP="00234748">
      <w:pPr>
        <w:pStyle w:val="ListParagraph"/>
        <w:numPr>
          <w:ilvl w:val="0"/>
          <w:numId w:val="7"/>
        </w:numPr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Licensed wholesalers can only deliver to </w:t>
      </w:r>
      <w:r w:rsidR="00462F8D">
        <w:rPr>
          <w:rFonts w:eastAsia="Calibri" w:cs="Times New Roman"/>
          <w:lang w:val="en-US"/>
        </w:rPr>
        <w:t xml:space="preserve">the </w:t>
      </w:r>
      <w:r>
        <w:rPr>
          <w:rFonts w:eastAsia="Calibri" w:cs="Times New Roman"/>
          <w:lang w:val="en-US"/>
        </w:rPr>
        <w:t xml:space="preserve">premises listed on </w:t>
      </w:r>
      <w:r w:rsidR="00592D81">
        <w:rPr>
          <w:rFonts w:eastAsia="Calibri" w:cs="Times New Roman"/>
          <w:lang w:val="en-US"/>
        </w:rPr>
        <w:t>the P</w:t>
      </w:r>
      <w:r w:rsidR="00462F8D">
        <w:rPr>
          <w:rFonts w:eastAsia="Calibri" w:cs="Times New Roman"/>
          <w:lang w:val="en-US"/>
        </w:rPr>
        <w:t xml:space="preserve">ermit. </w:t>
      </w:r>
    </w:p>
    <w:p w14:paraId="3B1950D4" w14:textId="11FC37A3" w:rsidR="00462F8D" w:rsidRPr="004C6ACB" w:rsidRDefault="004C6ACB" w:rsidP="00A32474">
      <w:pPr>
        <w:pStyle w:val="ListParagraph"/>
        <w:numPr>
          <w:ilvl w:val="0"/>
          <w:numId w:val="7"/>
        </w:numPr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Mobile veterinary surgeons</w:t>
      </w:r>
      <w:r w:rsidR="00A32474">
        <w:rPr>
          <w:rFonts w:eastAsia="Calibri" w:cs="Times New Roman"/>
          <w:lang w:val="en-US"/>
        </w:rPr>
        <w:t xml:space="preserve"> can </w:t>
      </w:r>
      <w:hyperlink r:id="rId12" w:history="1">
        <w:r w:rsidR="00A32474">
          <w:rPr>
            <w:rStyle w:val="Hyperlink"/>
            <w:rFonts w:eastAsia="Calibri" w:cs="Times New Roman"/>
            <w:lang w:val="en-US"/>
          </w:rPr>
          <w:t>apply</w:t>
        </w:r>
      </w:hyperlink>
      <w:r w:rsidR="00A32474">
        <w:rPr>
          <w:rFonts w:eastAsia="Calibri" w:cs="Times New Roman"/>
          <w:lang w:val="en-US"/>
        </w:rPr>
        <w:t xml:space="preserve"> to have a</w:t>
      </w:r>
      <w:r>
        <w:rPr>
          <w:rFonts w:eastAsia="Calibri" w:cs="Times New Roman"/>
          <w:lang w:val="en-US"/>
        </w:rPr>
        <w:t xml:space="preserve"> colleague’s veterinary cli</w:t>
      </w:r>
      <w:r w:rsidR="00592D81">
        <w:rPr>
          <w:rFonts w:eastAsia="Calibri" w:cs="Times New Roman"/>
          <w:lang w:val="en-US"/>
        </w:rPr>
        <w:t>nic or hospital added to their P</w:t>
      </w:r>
      <w:r>
        <w:rPr>
          <w:rFonts w:eastAsia="Calibri" w:cs="Times New Roman"/>
          <w:lang w:val="en-US"/>
        </w:rPr>
        <w:t xml:space="preserve">ermit as a “delivery only” location. </w:t>
      </w:r>
      <w:r w:rsidR="00A32474">
        <w:rPr>
          <w:rFonts w:eastAsia="Calibri" w:cs="Times New Roman"/>
          <w:lang w:val="en-US"/>
        </w:rPr>
        <w:t>The</w:t>
      </w:r>
      <w:r>
        <w:rPr>
          <w:rFonts w:eastAsia="Calibri" w:cs="Times New Roman"/>
          <w:lang w:val="en-US"/>
        </w:rPr>
        <w:t xml:space="preserve"> </w:t>
      </w:r>
      <w:r w:rsidR="00044B64" w:rsidRPr="004C6ACB">
        <w:rPr>
          <w:rFonts w:eastAsia="Calibri" w:cs="Times New Roman"/>
          <w:lang w:val="en-US"/>
        </w:rPr>
        <w:t xml:space="preserve">Department of Health </w:t>
      </w:r>
      <w:r>
        <w:rPr>
          <w:rFonts w:eastAsia="Calibri" w:cs="Times New Roman"/>
          <w:lang w:val="en-US"/>
        </w:rPr>
        <w:t>requires a</w:t>
      </w:r>
      <w:r w:rsidR="00044B64" w:rsidRPr="004C6ACB">
        <w:rPr>
          <w:rFonts w:eastAsia="Calibri" w:cs="Times New Roman"/>
          <w:lang w:val="en-US"/>
        </w:rPr>
        <w:t xml:space="preserve"> signed letter from the p</w:t>
      </w:r>
      <w:r w:rsidR="00F30844" w:rsidRPr="004C6ACB">
        <w:rPr>
          <w:rFonts w:eastAsia="Calibri" w:cs="Times New Roman"/>
          <w:lang w:val="en-US"/>
        </w:rPr>
        <w:t>ermit holder for</w:t>
      </w:r>
      <w:r w:rsidR="00044B64" w:rsidRPr="004C6ACB">
        <w:rPr>
          <w:rFonts w:eastAsia="Calibri" w:cs="Times New Roman"/>
          <w:lang w:val="en-US"/>
        </w:rPr>
        <w:t xml:space="preserve"> the veterinary </w:t>
      </w:r>
      <w:r w:rsidR="00F30844" w:rsidRPr="004C6ACB">
        <w:rPr>
          <w:rFonts w:eastAsia="Calibri" w:cs="Times New Roman"/>
          <w:lang w:val="en-US"/>
        </w:rPr>
        <w:t>clinic</w:t>
      </w:r>
      <w:r w:rsidR="00044B64" w:rsidRPr="004C6ACB">
        <w:rPr>
          <w:rFonts w:eastAsia="Calibri" w:cs="Times New Roman"/>
          <w:lang w:val="en-US"/>
        </w:rPr>
        <w:t xml:space="preserve"> or hospital indicating </w:t>
      </w:r>
      <w:r w:rsidR="00A32474">
        <w:rPr>
          <w:rFonts w:eastAsia="Calibri" w:cs="Times New Roman"/>
          <w:lang w:val="en-US"/>
        </w:rPr>
        <w:t xml:space="preserve">they agree to accept </w:t>
      </w:r>
      <w:r>
        <w:rPr>
          <w:rFonts w:eastAsia="Calibri" w:cs="Times New Roman"/>
          <w:lang w:val="en-US"/>
        </w:rPr>
        <w:t>deliveries on behalf</w:t>
      </w:r>
      <w:r w:rsidR="00044B64" w:rsidRPr="004C6ACB">
        <w:rPr>
          <w:rFonts w:eastAsia="Calibri" w:cs="Times New Roman"/>
          <w:lang w:val="en-US"/>
        </w:rPr>
        <w:t xml:space="preserve"> of the</w:t>
      </w:r>
      <w:r>
        <w:rPr>
          <w:rFonts w:eastAsia="Calibri" w:cs="Times New Roman"/>
          <w:lang w:val="en-US"/>
        </w:rPr>
        <w:t xml:space="preserve"> ordering</w:t>
      </w:r>
      <w:r w:rsidR="00044B64" w:rsidRPr="004C6ACB">
        <w:rPr>
          <w:rFonts w:eastAsia="Calibri" w:cs="Times New Roman"/>
          <w:lang w:val="en-US"/>
        </w:rPr>
        <w:t xml:space="preserve"> mobile veterinary </w:t>
      </w:r>
      <w:r>
        <w:rPr>
          <w:rFonts w:eastAsia="Calibri" w:cs="Times New Roman"/>
          <w:lang w:val="en-US"/>
        </w:rPr>
        <w:t>surgeon.</w:t>
      </w:r>
    </w:p>
    <w:p w14:paraId="12FF99E3" w14:textId="063A5BE3" w:rsidR="00462F8D" w:rsidRDefault="00462F8D" w:rsidP="00462F8D">
      <w:pPr>
        <w:pStyle w:val="ListParagraph"/>
        <w:numPr>
          <w:ilvl w:val="0"/>
          <w:numId w:val="7"/>
        </w:numPr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Mobile veterinary surgeons are expected to collect their ord</w:t>
      </w:r>
      <w:r w:rsidR="00A32474">
        <w:rPr>
          <w:rFonts w:eastAsia="Calibri" w:cs="Times New Roman"/>
          <w:lang w:val="en-US"/>
        </w:rPr>
        <w:t>ers at the earliest opportunity and</w:t>
      </w:r>
      <w:r>
        <w:rPr>
          <w:rFonts w:eastAsia="Calibri" w:cs="Times New Roman"/>
          <w:lang w:val="en-US"/>
        </w:rPr>
        <w:t xml:space="preserve"> no later than </w:t>
      </w:r>
      <w:r w:rsidR="004C6ACB">
        <w:rPr>
          <w:rFonts w:eastAsia="Calibri" w:cs="Times New Roman"/>
          <w:lang w:val="en-US"/>
        </w:rPr>
        <w:t xml:space="preserve">two </w:t>
      </w:r>
      <w:r>
        <w:rPr>
          <w:rFonts w:eastAsia="Calibri" w:cs="Times New Roman"/>
          <w:lang w:val="en-US"/>
        </w:rPr>
        <w:t>business day</w:t>
      </w:r>
      <w:r w:rsidR="004C6ACB">
        <w:rPr>
          <w:rFonts w:eastAsia="Calibri" w:cs="Times New Roman"/>
          <w:lang w:val="en-US"/>
        </w:rPr>
        <w:t>s after delivery</w:t>
      </w:r>
      <w:r w:rsidR="00592D81">
        <w:rPr>
          <w:rFonts w:eastAsia="Calibri" w:cs="Times New Roman"/>
          <w:lang w:val="en-US"/>
        </w:rPr>
        <w:t xml:space="preserve"> for S</w:t>
      </w:r>
      <w:r>
        <w:rPr>
          <w:rFonts w:eastAsia="Calibri" w:cs="Times New Roman"/>
          <w:lang w:val="en-US"/>
        </w:rPr>
        <w:t>chedule 4 medicines</w:t>
      </w:r>
      <w:r w:rsidR="004C6ACB">
        <w:rPr>
          <w:rFonts w:eastAsia="Calibri" w:cs="Times New Roman"/>
          <w:lang w:val="en-US"/>
        </w:rPr>
        <w:t>. Schedule 8 medicines should be collected on the day they are delivered.</w:t>
      </w:r>
    </w:p>
    <w:p w14:paraId="4C221884" w14:textId="77777777" w:rsidR="00462F8D" w:rsidRDefault="00462F8D" w:rsidP="00462F8D">
      <w:pPr>
        <w:pStyle w:val="ListParagraph"/>
        <w:numPr>
          <w:ilvl w:val="0"/>
          <w:numId w:val="7"/>
        </w:numPr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The receiving veterinary clinic or hospital must store the delivered drugs securely until the mobile veterinary surgeon collects their order.</w:t>
      </w:r>
      <w:r w:rsidRPr="00462F8D">
        <w:rPr>
          <w:rFonts w:eastAsia="Calibri" w:cs="Times New Roman"/>
          <w:lang w:val="en-US"/>
        </w:rPr>
        <w:t xml:space="preserve"> </w:t>
      </w:r>
    </w:p>
    <w:p w14:paraId="23CFD667" w14:textId="74DC552B" w:rsidR="00462F8D" w:rsidRPr="00462F8D" w:rsidRDefault="00462F8D" w:rsidP="00462F8D">
      <w:pPr>
        <w:pStyle w:val="ListParagraph"/>
        <w:numPr>
          <w:ilvl w:val="0"/>
          <w:numId w:val="7"/>
        </w:numPr>
        <w:rPr>
          <w:rFonts w:eastAsia="Calibri" w:cs="Times New Roman"/>
          <w:lang w:val="en-US"/>
        </w:rPr>
      </w:pPr>
      <w:r w:rsidRPr="00462F8D">
        <w:rPr>
          <w:rFonts w:eastAsia="Calibri" w:cs="Times New Roman"/>
          <w:lang w:val="en-US"/>
        </w:rPr>
        <w:t xml:space="preserve">Both the mobile veterinary surgeon and the staff at the </w:t>
      </w:r>
      <w:r w:rsidR="003B7E7D">
        <w:rPr>
          <w:rFonts w:eastAsia="Calibri" w:cs="Times New Roman"/>
          <w:lang w:val="en-US"/>
        </w:rPr>
        <w:t xml:space="preserve">delivery location </w:t>
      </w:r>
      <w:r w:rsidRPr="00462F8D">
        <w:rPr>
          <w:rFonts w:eastAsia="Calibri" w:cs="Times New Roman"/>
          <w:lang w:val="en-US"/>
        </w:rPr>
        <w:t>may be held responsible in the event any scheduled drugs are lost or stolen</w:t>
      </w:r>
      <w:r w:rsidR="003B7E7D">
        <w:rPr>
          <w:rFonts w:eastAsia="Calibri" w:cs="Times New Roman"/>
          <w:lang w:val="en-US"/>
        </w:rPr>
        <w:t xml:space="preserve"> during the delivery process.</w:t>
      </w:r>
    </w:p>
    <w:p w14:paraId="00724B33" w14:textId="3F0CAB36" w:rsidR="00234748" w:rsidRPr="007A7BA9" w:rsidRDefault="009049BA" w:rsidP="00234748">
      <w:pPr>
        <w:pStyle w:val="Heading2"/>
      </w:pPr>
      <w:r>
        <w:t>Veterinary</w:t>
      </w:r>
      <w:r w:rsidR="00E45581">
        <w:t xml:space="preserve"> surgeons who </w:t>
      </w:r>
      <w:r w:rsidR="00D53677">
        <w:t xml:space="preserve">only </w:t>
      </w:r>
      <w:r w:rsidR="00E45581">
        <w:t>want to treat their own animals</w:t>
      </w:r>
    </w:p>
    <w:p w14:paraId="0969A6D7" w14:textId="31145D85" w:rsidR="00E45581" w:rsidRDefault="009049BA" w:rsidP="00153469">
      <w:r>
        <w:t xml:space="preserve">Even where they are not </w:t>
      </w:r>
      <w:r w:rsidR="00153FE6">
        <w:t>working</w:t>
      </w:r>
      <w:r>
        <w:t xml:space="preserve"> at or operating a veterinary business (such as after retirement), some registered</w:t>
      </w:r>
      <w:r w:rsidR="00E45581">
        <w:t xml:space="preserve"> vet</w:t>
      </w:r>
      <w:r>
        <w:t>erinary surgeons wish to purchase small quantities of scheduled drugs from a wholesaler to treat their own animals.</w:t>
      </w:r>
    </w:p>
    <w:p w14:paraId="3CCD296A" w14:textId="04AACDF1" w:rsidR="00D53677" w:rsidRDefault="00153469" w:rsidP="00153469">
      <w:r>
        <w:t>As the</w:t>
      </w:r>
      <w:r w:rsidR="00D53677">
        <w:t xml:space="preserve"> veterinary surgeon </w:t>
      </w:r>
      <w:r>
        <w:t xml:space="preserve">is not practising at a registered clinic or hospital, a Permit is required. </w:t>
      </w:r>
      <w:r w:rsidR="00D53677">
        <w:t>The situation is</w:t>
      </w:r>
      <w:r>
        <w:t xml:space="preserve"> similar</w:t>
      </w:r>
      <w:r w:rsidR="00D53677">
        <w:t xml:space="preserve"> to a veterinary surgeon operating a mobile veterinary </w:t>
      </w:r>
      <w:r w:rsidR="004C6ACB">
        <w:t>b</w:t>
      </w:r>
      <w:r w:rsidR="003B7E7D">
        <w:t>usiness (see above for details</w:t>
      </w:r>
      <w:r w:rsidR="00153FE6">
        <w:t>, including use of “delivery only” locations</w:t>
      </w:r>
      <w:r w:rsidR="003B7E7D">
        <w:t>).</w:t>
      </w:r>
    </w:p>
    <w:p w14:paraId="75401E6C" w14:textId="6FB8E42E" w:rsidR="00D53677" w:rsidRDefault="00D53677" w:rsidP="00153469">
      <w:r>
        <w:t>The Medicines a</w:t>
      </w:r>
      <w:r w:rsidR="004C6ACB">
        <w:t>nd Poisons Regulations 2016</w:t>
      </w:r>
      <w:r>
        <w:t xml:space="preserve"> require all Schedule 4 and Schedule 8 drugs intended for the treatment of specific animals to be labelled with particular information, including</w:t>
      </w:r>
      <w:r w:rsidR="00153FE6">
        <w:t xml:space="preserve"> the species</w:t>
      </w:r>
      <w:r w:rsidR="0013347B">
        <w:t xml:space="preserve"> of the animal</w:t>
      </w:r>
      <w:r w:rsidR="00153FE6">
        <w:t>, owner/carer’s surname and</w:t>
      </w:r>
      <w:r>
        <w:t xml:space="preserve"> directions for use.</w:t>
      </w:r>
      <w:r w:rsidR="00153469">
        <w:t xml:space="preserve"> </w:t>
      </w:r>
      <w:r>
        <w:t xml:space="preserve">There are also requirements for clinical records </w:t>
      </w:r>
      <w:r w:rsidR="003B7E7D">
        <w:t>to be kept about</w:t>
      </w:r>
      <w:r>
        <w:t xml:space="preserve"> the treatment </w:t>
      </w:r>
      <w:r w:rsidR="00CF6B82">
        <w:t>of all animals.</w:t>
      </w:r>
    </w:p>
    <w:p w14:paraId="01BDF727" w14:textId="52B1FADB" w:rsidR="0093743B" w:rsidRDefault="0093743B" w:rsidP="005E245C">
      <w:pPr>
        <w:pStyle w:val="Heading3"/>
      </w:pPr>
      <w:r w:rsidRPr="006C4E78">
        <w:t>More information</w:t>
      </w:r>
    </w:p>
    <w:p w14:paraId="2A3ED598" w14:textId="0AE33944" w:rsidR="004C2780" w:rsidRPr="00862831" w:rsidRDefault="0093743B" w:rsidP="002E5F5B">
      <w:pPr>
        <w:rPr>
          <w:szCs w:val="24"/>
          <w:lang w:val="en"/>
        </w:rPr>
      </w:pPr>
      <w:r w:rsidRPr="00862831">
        <w:rPr>
          <w:szCs w:val="24"/>
          <w:lang w:val="en"/>
        </w:rPr>
        <w:t>Medicine</w:t>
      </w:r>
      <w:r w:rsidR="00862831" w:rsidRPr="00862831">
        <w:rPr>
          <w:szCs w:val="24"/>
          <w:lang w:val="en"/>
        </w:rPr>
        <w:t>s and Poisons Regulation Branch</w:t>
      </w:r>
      <w:r w:rsidRPr="00862831">
        <w:rPr>
          <w:szCs w:val="24"/>
          <w:lang w:val="en"/>
        </w:rPr>
        <w:br/>
        <w:t>Phone: 9222 6883</w:t>
      </w:r>
      <w:r w:rsidRPr="00862831">
        <w:rPr>
          <w:szCs w:val="24"/>
          <w:lang w:val="en"/>
        </w:rPr>
        <w:br/>
        <w:t>Email:</w:t>
      </w:r>
      <w:r w:rsidR="005E245C" w:rsidRPr="00862831">
        <w:rPr>
          <w:szCs w:val="24"/>
          <w:lang w:val="en"/>
        </w:rPr>
        <w:t xml:space="preserve"> </w:t>
      </w:r>
      <w:hyperlink r:id="rId13" w:history="1">
        <w:r w:rsidR="005E245C" w:rsidRPr="00862831">
          <w:rPr>
            <w:rStyle w:val="Hyperlink"/>
            <w:szCs w:val="24"/>
            <w:lang w:val="en"/>
          </w:rPr>
          <w:t>MPRB@health.wa.gov.au</w:t>
        </w:r>
      </w:hyperlink>
      <w:r w:rsidR="005E245C" w:rsidRPr="00862831">
        <w:rPr>
          <w:szCs w:val="24"/>
          <w:lang w:val="en"/>
        </w:rPr>
        <w:t xml:space="preserve"> </w:t>
      </w:r>
    </w:p>
    <w:sectPr w:rsidR="004C2780" w:rsidRPr="00862831" w:rsidSect="007414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09" w:right="680" w:bottom="1843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8B093" w14:textId="77777777" w:rsidR="004C7093" w:rsidRDefault="004C7093" w:rsidP="0013662A">
      <w:pPr>
        <w:spacing w:after="0"/>
      </w:pPr>
      <w:r>
        <w:separator/>
      </w:r>
    </w:p>
  </w:endnote>
  <w:endnote w:type="continuationSeparator" w:id="0">
    <w:p w14:paraId="6AC0D23F" w14:textId="77777777" w:rsidR="004C7093" w:rsidRDefault="004C7093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5C31" w14:textId="77777777" w:rsidR="0051213F" w:rsidRDefault="00512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D59F" w14:textId="09732E8B" w:rsidR="009B0844" w:rsidRPr="004F64F7" w:rsidRDefault="009B0844" w:rsidP="009B0844">
    <w:pPr>
      <w:spacing w:after="240"/>
    </w:pPr>
    <w:r w:rsidRPr="00AF7C07">
      <w:rPr>
        <w:b/>
      </w:rPr>
      <w:t xml:space="preserve">This document can be made available in alternative formats </w:t>
    </w:r>
    <w:r w:rsidR="00CE4DD9">
      <w:rPr>
        <w:b/>
      </w:rPr>
      <w:br/>
      <w:t xml:space="preserve">on request for a person with </w:t>
    </w:r>
    <w:r w:rsidRPr="00AF7C07">
      <w:rPr>
        <w:b/>
      </w:rPr>
      <w:t>disability.</w:t>
    </w:r>
    <w:r w:rsidR="004F64F7">
      <w:rPr>
        <w:b/>
      </w:rPr>
      <w:tab/>
    </w:r>
    <w:r w:rsidR="004F64F7">
      <w:rPr>
        <w:b/>
      </w:rPr>
      <w:tab/>
    </w:r>
    <w:r w:rsidR="004F64F7">
      <w:rPr>
        <w:b/>
      </w:rPr>
      <w:tab/>
    </w:r>
    <w:r w:rsidR="004F64F7">
      <w:rPr>
        <w:b/>
      </w:rPr>
      <w:tab/>
    </w:r>
    <w:r w:rsidR="004F64F7">
      <w:rPr>
        <w:b/>
      </w:rPr>
      <w:tab/>
    </w:r>
    <w:r w:rsidR="004F64F7">
      <w:rPr>
        <w:b/>
      </w:rPr>
      <w:tab/>
    </w:r>
    <w:r w:rsidR="004F64F7">
      <w:rPr>
        <w:b/>
      </w:rPr>
      <w:tab/>
    </w:r>
    <w:r w:rsidR="00DE362C">
      <w:rPr>
        <w:sz w:val="20"/>
        <w:szCs w:val="20"/>
      </w:rPr>
      <w:t>D00116</w:t>
    </w:r>
  </w:p>
  <w:p w14:paraId="2A3ED5A0" w14:textId="6DD22209" w:rsidR="009B0844" w:rsidRDefault="009B0844" w:rsidP="009B0844">
    <w:pPr>
      <w:spacing w:after="300"/>
      <w:ind w:right="-1"/>
    </w:pPr>
    <w:r>
      <w:t>© Department of Health 201</w:t>
    </w:r>
    <w:r w:rsidR="00D64DA0">
      <w:t>9</w:t>
    </w:r>
  </w:p>
  <w:p w14:paraId="2A3ED5A1" w14:textId="77777777"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14:paraId="2A3ED5A2" w14:textId="77777777" w:rsidR="00521D1A" w:rsidRPr="00483052" w:rsidRDefault="000244A9" w:rsidP="00483052">
    <w:pPr>
      <w:pStyle w:val="TEXT"/>
      <w:spacing w:line="240" w:lineRule="auto"/>
      <w:rPr>
        <w:rFonts w:ascii="Arial" w:hAnsi="Arial"/>
        <w:color w:val="393C71" w:themeColor="accent1"/>
        <w:sz w:val="28"/>
        <w:szCs w:val="28"/>
      </w:rPr>
    </w:pPr>
    <w:r w:rsidRPr="00483052">
      <w:rPr>
        <w:rFonts w:ascii="Arial" w:hAnsi="Arial"/>
        <w:color w:val="393C71" w:themeColor="accent1"/>
        <w:sz w:val="28"/>
        <w:szCs w:val="28"/>
      </w:rPr>
      <w:t>health.wa.gov.au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D5A4" w14:textId="77777777" w:rsidR="0013662A" w:rsidRPr="00232283" w:rsidRDefault="0013662A" w:rsidP="00232283">
    <w:pPr>
      <w:spacing w:after="240"/>
      <w:rPr>
        <w:b/>
        <w:color w:val="393C71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1BFB1" w14:textId="77777777" w:rsidR="004C7093" w:rsidRDefault="004C7093" w:rsidP="0013662A">
      <w:pPr>
        <w:spacing w:after="0"/>
      </w:pPr>
      <w:r>
        <w:separator/>
      </w:r>
    </w:p>
  </w:footnote>
  <w:footnote w:type="continuationSeparator" w:id="0">
    <w:p w14:paraId="4669DBDD" w14:textId="77777777" w:rsidR="004C7093" w:rsidRDefault="004C7093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350CA" w14:textId="77777777" w:rsidR="0051213F" w:rsidRDefault="005121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63A71" w14:textId="77777777" w:rsidR="0051213F" w:rsidRDefault="00512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D5A3" w14:textId="77777777"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A3ED5A5" wp14:editId="2A3ED5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1999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43B"/>
    <w:multiLevelType w:val="hybridMultilevel"/>
    <w:tmpl w:val="C9208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26565"/>
    <w:multiLevelType w:val="hybridMultilevel"/>
    <w:tmpl w:val="B21C4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E7231"/>
    <w:multiLevelType w:val="hybridMultilevel"/>
    <w:tmpl w:val="07C67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37959"/>
    <w:multiLevelType w:val="hybridMultilevel"/>
    <w:tmpl w:val="6082C7D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D412201"/>
    <w:multiLevelType w:val="hybridMultilevel"/>
    <w:tmpl w:val="732CD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06E30"/>
    <w:multiLevelType w:val="hybridMultilevel"/>
    <w:tmpl w:val="EB88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56D5C"/>
    <w:multiLevelType w:val="hybridMultilevel"/>
    <w:tmpl w:val="68A06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A6ABD"/>
    <w:multiLevelType w:val="hybridMultilevel"/>
    <w:tmpl w:val="25744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51104"/>
    <w:multiLevelType w:val="hybridMultilevel"/>
    <w:tmpl w:val="EF040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93C71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7E8E"/>
    <w:multiLevelType w:val="hybridMultilevel"/>
    <w:tmpl w:val="CEECE0FC"/>
    <w:lvl w:ilvl="0" w:tplc="BCB06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3C71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37E4D"/>
    <w:multiLevelType w:val="hybridMultilevel"/>
    <w:tmpl w:val="35EAD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44B64"/>
    <w:rsid w:val="00080B19"/>
    <w:rsid w:val="000817F3"/>
    <w:rsid w:val="00090F60"/>
    <w:rsid w:val="0013347B"/>
    <w:rsid w:val="0013662A"/>
    <w:rsid w:val="001437E0"/>
    <w:rsid w:val="00153469"/>
    <w:rsid w:val="00153FE6"/>
    <w:rsid w:val="00171B7B"/>
    <w:rsid w:val="001C7D1F"/>
    <w:rsid w:val="001F6030"/>
    <w:rsid w:val="001F68E9"/>
    <w:rsid w:val="0021258C"/>
    <w:rsid w:val="00220E8F"/>
    <w:rsid w:val="00232283"/>
    <w:rsid w:val="00234748"/>
    <w:rsid w:val="00234BA2"/>
    <w:rsid w:val="002B4414"/>
    <w:rsid w:val="002C7D7D"/>
    <w:rsid w:val="002E5F5B"/>
    <w:rsid w:val="00355004"/>
    <w:rsid w:val="003929E7"/>
    <w:rsid w:val="003B7E7D"/>
    <w:rsid w:val="00462F8D"/>
    <w:rsid w:val="00466DB9"/>
    <w:rsid w:val="00471692"/>
    <w:rsid w:val="00483052"/>
    <w:rsid w:val="00492C70"/>
    <w:rsid w:val="004A609E"/>
    <w:rsid w:val="004C2780"/>
    <w:rsid w:val="004C27CB"/>
    <w:rsid w:val="004C6976"/>
    <w:rsid w:val="004C6ACB"/>
    <w:rsid w:val="004C7093"/>
    <w:rsid w:val="004F64F7"/>
    <w:rsid w:val="0051213F"/>
    <w:rsid w:val="00521D1A"/>
    <w:rsid w:val="0056716B"/>
    <w:rsid w:val="00592D81"/>
    <w:rsid w:val="00597A85"/>
    <w:rsid w:val="005A409E"/>
    <w:rsid w:val="005A4DC8"/>
    <w:rsid w:val="005D455D"/>
    <w:rsid w:val="005E245C"/>
    <w:rsid w:val="006B582F"/>
    <w:rsid w:val="006D251A"/>
    <w:rsid w:val="006F1E2D"/>
    <w:rsid w:val="006F52D0"/>
    <w:rsid w:val="00741450"/>
    <w:rsid w:val="00753150"/>
    <w:rsid w:val="00761E54"/>
    <w:rsid w:val="0077027C"/>
    <w:rsid w:val="00783784"/>
    <w:rsid w:val="00794DF0"/>
    <w:rsid w:val="007A7BA9"/>
    <w:rsid w:val="007C3222"/>
    <w:rsid w:val="007D3AE7"/>
    <w:rsid w:val="007D793C"/>
    <w:rsid w:val="00806E9D"/>
    <w:rsid w:val="00862831"/>
    <w:rsid w:val="00881846"/>
    <w:rsid w:val="00882643"/>
    <w:rsid w:val="00885FFD"/>
    <w:rsid w:val="00893087"/>
    <w:rsid w:val="00897837"/>
    <w:rsid w:val="008C6F0A"/>
    <w:rsid w:val="008E3665"/>
    <w:rsid w:val="008F7FE4"/>
    <w:rsid w:val="009049BA"/>
    <w:rsid w:val="00910C41"/>
    <w:rsid w:val="009128D2"/>
    <w:rsid w:val="009268E4"/>
    <w:rsid w:val="00930DF8"/>
    <w:rsid w:val="00933CEB"/>
    <w:rsid w:val="0093743B"/>
    <w:rsid w:val="00957D92"/>
    <w:rsid w:val="009620B2"/>
    <w:rsid w:val="009668ED"/>
    <w:rsid w:val="00981DA1"/>
    <w:rsid w:val="00990D6C"/>
    <w:rsid w:val="009A0742"/>
    <w:rsid w:val="009B0844"/>
    <w:rsid w:val="009E6387"/>
    <w:rsid w:val="00A26F89"/>
    <w:rsid w:val="00A32474"/>
    <w:rsid w:val="00A91C4C"/>
    <w:rsid w:val="00A969AE"/>
    <w:rsid w:val="00AA1620"/>
    <w:rsid w:val="00AA59CF"/>
    <w:rsid w:val="00AA7466"/>
    <w:rsid w:val="00AE14EA"/>
    <w:rsid w:val="00AF0C79"/>
    <w:rsid w:val="00B17ECC"/>
    <w:rsid w:val="00B81149"/>
    <w:rsid w:val="00B85FD3"/>
    <w:rsid w:val="00B87120"/>
    <w:rsid w:val="00BA10C4"/>
    <w:rsid w:val="00BB5682"/>
    <w:rsid w:val="00BD41EB"/>
    <w:rsid w:val="00BD7C33"/>
    <w:rsid w:val="00BE3C2D"/>
    <w:rsid w:val="00C16815"/>
    <w:rsid w:val="00C7143D"/>
    <w:rsid w:val="00C729CE"/>
    <w:rsid w:val="00C72B9B"/>
    <w:rsid w:val="00CA5148"/>
    <w:rsid w:val="00CE4DD9"/>
    <w:rsid w:val="00CF2778"/>
    <w:rsid w:val="00CF64E2"/>
    <w:rsid w:val="00CF6B82"/>
    <w:rsid w:val="00D147D4"/>
    <w:rsid w:val="00D53677"/>
    <w:rsid w:val="00D636EE"/>
    <w:rsid w:val="00D64DA0"/>
    <w:rsid w:val="00D9301F"/>
    <w:rsid w:val="00DD22D0"/>
    <w:rsid w:val="00DE362C"/>
    <w:rsid w:val="00DE4BFE"/>
    <w:rsid w:val="00E40563"/>
    <w:rsid w:val="00E45581"/>
    <w:rsid w:val="00E47483"/>
    <w:rsid w:val="00E50A28"/>
    <w:rsid w:val="00E775B0"/>
    <w:rsid w:val="00EA3105"/>
    <w:rsid w:val="00EA5C3E"/>
    <w:rsid w:val="00F30844"/>
    <w:rsid w:val="00F647BD"/>
    <w:rsid w:val="00FA5B26"/>
    <w:rsid w:val="00FC11D4"/>
    <w:rsid w:val="00FC20CD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3ED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393C71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393C71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393C71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4E56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393C71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393C71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393C71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4E56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2A2C5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393C71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2A2C54" w:themeColor="accent1" w:themeShade="BF"/>
    </w:rPr>
    <w:tblPr>
      <w:tblStyleRowBandSize w:val="1"/>
      <w:tblStyleColBandSize w:val="1"/>
      <w:tblBorders>
        <w:top w:val="single" w:sz="8" w:space="0" w:color="393C71" w:themeColor="accent1"/>
        <w:bottom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  <w:insideH w:val="single" w:sz="8" w:space="0" w:color="393C71" w:themeColor="accent1"/>
        <w:insideV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1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  <w:shd w:val="clear" w:color="auto" w:fill="C7C8E3" w:themeFill="accent1" w:themeFillTint="3F"/>
      </w:tcPr>
    </w:tblStylePr>
    <w:tblStylePr w:type="band2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393C71" w:themeColor="accent1"/>
          <w:left w:val="single" w:sz="8" w:space="0" w:color="393C71" w:themeColor="accent1"/>
          <w:bottom w:val="single" w:sz="1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  <w:shd w:val="clear" w:color="auto" w:fill="393C71" w:themeFill="accent2"/>
      </w:tcPr>
    </w:tblStylePr>
    <w:tblStylePr w:type="band2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559A9" w:themeColor="accent1" w:themeTint="BF"/>
        <w:left w:val="single" w:sz="8" w:space="0" w:color="5559A9" w:themeColor="accent1" w:themeTint="BF"/>
        <w:bottom w:val="single" w:sz="8" w:space="0" w:color="5559A9" w:themeColor="accent1" w:themeTint="BF"/>
        <w:right w:val="single" w:sz="8" w:space="0" w:color="5559A9" w:themeColor="accent1" w:themeTint="BF"/>
        <w:insideH w:val="single" w:sz="8" w:space="0" w:color="5559A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8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393C71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93C71" w:themeColor="accent1"/>
        <w:bottom w:val="single" w:sz="8" w:space="0" w:color="393C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3C71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shd w:val="clear" w:color="auto" w:fill="C7C8E3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393C71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shd w:val="clear" w:color="auto" w:fill="393C71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393C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93C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3C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3C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393C71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3C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93C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3C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3C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C8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3743B"/>
    <w:pPr>
      <w:widowControl w:val="0"/>
      <w:autoSpaceDE w:val="0"/>
      <w:autoSpaceDN w:val="0"/>
      <w:adjustRightInd w:val="0"/>
      <w:spacing w:after="0"/>
    </w:pPr>
    <w:rPr>
      <w:rFonts w:eastAsiaTheme="minorEastAsia" w:cs="Arial"/>
      <w:sz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93743B"/>
    <w:rPr>
      <w:rFonts w:ascii="Arial" w:eastAsiaTheme="minorEastAsia" w:hAnsi="Arial" w:cs="Arial"/>
      <w:lang w:eastAsia="en-AU"/>
    </w:rPr>
  </w:style>
  <w:style w:type="character" w:styleId="FollowedHyperlink">
    <w:name w:val="FollowedHyperlink"/>
    <w:basedOn w:val="DefaultParagraphFont"/>
    <w:uiPriority w:val="99"/>
    <w:semiHidden/>
    <w:rsid w:val="007A7BA9"/>
    <w:rPr>
      <w:color w:val="095489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393C71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393C71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393C71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4E56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393C71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393C71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393C71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4E56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2A2C5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393C71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2A2C54" w:themeColor="accent1" w:themeShade="BF"/>
    </w:rPr>
    <w:tblPr>
      <w:tblStyleRowBandSize w:val="1"/>
      <w:tblStyleColBandSize w:val="1"/>
      <w:tblBorders>
        <w:top w:val="single" w:sz="8" w:space="0" w:color="393C71" w:themeColor="accent1"/>
        <w:bottom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  <w:insideH w:val="single" w:sz="8" w:space="0" w:color="393C71" w:themeColor="accent1"/>
        <w:insideV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1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  <w:shd w:val="clear" w:color="auto" w:fill="C7C8E3" w:themeFill="accent1" w:themeFillTint="3F"/>
      </w:tcPr>
    </w:tblStylePr>
    <w:tblStylePr w:type="band2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393C71" w:themeColor="accent1"/>
          <w:left w:val="single" w:sz="8" w:space="0" w:color="393C71" w:themeColor="accent1"/>
          <w:bottom w:val="single" w:sz="1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  <w:shd w:val="clear" w:color="auto" w:fill="393C71" w:themeFill="accent2"/>
      </w:tcPr>
    </w:tblStylePr>
    <w:tblStylePr w:type="band2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559A9" w:themeColor="accent1" w:themeTint="BF"/>
        <w:left w:val="single" w:sz="8" w:space="0" w:color="5559A9" w:themeColor="accent1" w:themeTint="BF"/>
        <w:bottom w:val="single" w:sz="8" w:space="0" w:color="5559A9" w:themeColor="accent1" w:themeTint="BF"/>
        <w:right w:val="single" w:sz="8" w:space="0" w:color="5559A9" w:themeColor="accent1" w:themeTint="BF"/>
        <w:insideH w:val="single" w:sz="8" w:space="0" w:color="5559A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8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393C71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93C71" w:themeColor="accent1"/>
        <w:bottom w:val="single" w:sz="8" w:space="0" w:color="393C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3C71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shd w:val="clear" w:color="auto" w:fill="C7C8E3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393C71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shd w:val="clear" w:color="auto" w:fill="393C71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393C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93C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3C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3C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393C71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3C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93C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3C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3C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C8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3743B"/>
    <w:pPr>
      <w:widowControl w:val="0"/>
      <w:autoSpaceDE w:val="0"/>
      <w:autoSpaceDN w:val="0"/>
      <w:adjustRightInd w:val="0"/>
      <w:spacing w:after="0"/>
    </w:pPr>
    <w:rPr>
      <w:rFonts w:eastAsiaTheme="minorEastAsia" w:cs="Arial"/>
      <w:sz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93743B"/>
    <w:rPr>
      <w:rFonts w:ascii="Arial" w:eastAsiaTheme="minorEastAsia" w:hAnsi="Arial" w:cs="Arial"/>
      <w:lang w:eastAsia="en-AU"/>
    </w:rPr>
  </w:style>
  <w:style w:type="character" w:styleId="FollowedHyperlink">
    <w:name w:val="FollowedHyperlink"/>
    <w:basedOn w:val="DefaultParagraphFont"/>
    <w:uiPriority w:val="99"/>
    <w:semiHidden/>
    <w:rsid w:val="007A7BA9"/>
    <w:rPr>
      <w:color w:val="09548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PRB@health.wa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2.health.wa.gov.au/Articles/A_E/Application-forms-for-Licences-and-Permi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2.health.wa.gov.au/Articles/S_T/Storage-of-Schedule-8-medicine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2.health.wa.gov.au/Articles/A_E/Application-forms-for-Licences-and-Permits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Indigo PMS 5265 2014">
      <a:dk1>
        <a:srgbClr val="000000"/>
      </a:dk1>
      <a:lt1>
        <a:srgbClr val="FFFFFF"/>
      </a:lt1>
      <a:dk2>
        <a:srgbClr val="464E56"/>
      </a:dk2>
      <a:lt2>
        <a:srgbClr val="FFFFFF"/>
      </a:lt2>
      <a:accent1>
        <a:srgbClr val="393C71"/>
      </a:accent1>
      <a:accent2>
        <a:srgbClr val="393C71"/>
      </a:accent2>
      <a:accent3>
        <a:srgbClr val="393C71"/>
      </a:accent3>
      <a:accent4>
        <a:srgbClr val="393C71"/>
      </a:accent4>
      <a:accent5>
        <a:srgbClr val="393C71"/>
      </a:accent5>
      <a:accent6>
        <a:srgbClr val="393C71"/>
      </a:accent6>
      <a:hlink>
        <a:srgbClr val="095489"/>
      </a:hlink>
      <a:folHlink>
        <a:srgbClr val="09548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7D75-7978-435C-9E35-A1B89F3E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2019-11-21T03:01:00Z</dcterms:created>
  <dcterms:modified xsi:type="dcterms:W3CDTF">2019-11-21T03:06:00Z</dcterms:modified>
</cp:coreProperties>
</file>