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"/>
        <w:gridCol w:w="2343"/>
        <w:gridCol w:w="1601"/>
        <w:gridCol w:w="1146"/>
        <w:gridCol w:w="71"/>
        <w:gridCol w:w="1063"/>
        <w:gridCol w:w="2693"/>
      </w:tblGrid>
      <w:tr w:rsidR="0024319B" w:rsidTr="00420FFD">
        <w:trPr>
          <w:trHeight w:val="397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vAlign w:val="bottom"/>
          </w:tcPr>
          <w:p w:rsidR="0024319B" w:rsidRPr="00610241" w:rsidRDefault="00610241" w:rsidP="00420FFD">
            <w:pPr>
              <w:spacing w:after="0"/>
              <w:ind w:hanging="851"/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044F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Thi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CE6196">
              <w:rPr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This form is not applicable where a pharmacy is relocating </w:t>
            </w:r>
            <w:r w:rsidR="00D6453E">
              <w:rPr>
                <w:sz w:val="20"/>
                <w:szCs w:val="20"/>
              </w:rPr>
              <w:t>to a</w:t>
            </w:r>
            <w:r>
              <w:rPr>
                <w:sz w:val="20"/>
                <w:szCs w:val="20"/>
              </w:rPr>
              <w:t xml:space="preserve"> new location.</w:t>
            </w:r>
          </w:p>
        </w:tc>
      </w:tr>
      <w:tr w:rsidR="00610241" w:rsidTr="00FA15A3">
        <w:trPr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1" w:rsidRPr="0024319B" w:rsidRDefault="00610241" w:rsidP="00FA15A3">
            <w:pPr>
              <w:spacing w:after="0"/>
              <w:outlineLvl w:val="0"/>
              <w:rPr>
                <w:b/>
                <w:sz w:val="20"/>
                <w:szCs w:val="20"/>
              </w:rPr>
            </w:pPr>
            <w:r w:rsidRPr="0024319B">
              <w:rPr>
                <w:b/>
                <w:sz w:val="20"/>
                <w:szCs w:val="20"/>
              </w:rPr>
              <w:t>1. Pharmacy details</w:t>
            </w:r>
          </w:p>
        </w:tc>
      </w:tr>
      <w:tr w:rsidR="0024319B" w:rsidTr="00FA15A3">
        <w:trPr>
          <w:trHeight w:val="397"/>
        </w:trPr>
        <w:tc>
          <w:tcPr>
            <w:tcW w:w="1431" w:type="dxa"/>
            <w:gridSpan w:val="2"/>
            <w:tcBorders>
              <w:top w:val="single" w:sz="4" w:space="0" w:color="auto"/>
            </w:tcBorders>
            <w:vAlign w:val="bottom"/>
          </w:tcPr>
          <w:p w:rsidR="0024319B" w:rsidRDefault="0024319B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19B" w:rsidRDefault="00610241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bookmarkStart w:id="1" w:name="_GoBack"/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bookmarkEnd w:id="1"/>
            <w:r w:rsidRPr="0061024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bottom"/>
          </w:tcPr>
          <w:p w:rsidR="0024319B" w:rsidRDefault="0024319B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19B" w:rsidRDefault="00610241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027CE4" w:rsidTr="00121FD7">
        <w:trPr>
          <w:trHeight w:val="397"/>
        </w:trPr>
        <w:tc>
          <w:tcPr>
            <w:tcW w:w="1431" w:type="dxa"/>
            <w:gridSpan w:val="2"/>
            <w:vAlign w:val="bottom"/>
          </w:tcPr>
          <w:p w:rsidR="00027CE4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917" w:type="dxa"/>
            <w:gridSpan w:val="6"/>
            <w:tcBorders>
              <w:bottom w:val="single" w:sz="4" w:space="0" w:color="auto"/>
            </w:tcBorders>
            <w:vAlign w:val="bottom"/>
          </w:tcPr>
          <w:p w:rsidR="00027CE4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027CE4" w:rsidTr="00027CE4">
        <w:trPr>
          <w:trHeight w:val="397"/>
        </w:trPr>
        <w:tc>
          <w:tcPr>
            <w:tcW w:w="1418" w:type="dxa"/>
            <w:vAlign w:val="bottom"/>
          </w:tcPr>
          <w:p w:rsidR="00027CE4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Suburb: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bottom"/>
          </w:tcPr>
          <w:p w:rsidR="00027CE4" w:rsidRPr="00610241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bottom"/>
          </w:tcPr>
          <w:p w:rsidR="00027CE4" w:rsidRPr="00610241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027CE4" w:rsidRPr="00610241" w:rsidRDefault="00027CE4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24319B" w:rsidTr="00FA15A3">
        <w:trPr>
          <w:trHeight w:val="397"/>
        </w:trPr>
        <w:tc>
          <w:tcPr>
            <w:tcW w:w="3774" w:type="dxa"/>
            <w:gridSpan w:val="3"/>
            <w:vAlign w:val="bottom"/>
          </w:tcPr>
          <w:p w:rsidR="0024319B" w:rsidRDefault="0024319B" w:rsidP="00FA15A3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date of pharmacy closure: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vAlign w:val="bottom"/>
          </w:tcPr>
          <w:p w:rsidR="0024319B" w:rsidRDefault="00610241" w:rsidP="00FA15A3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</w:tbl>
    <w:p w:rsidR="004C2780" w:rsidRDefault="004C2780" w:rsidP="00610241">
      <w:pPr>
        <w:rPr>
          <w:sz w:val="20"/>
          <w:szCs w:val="20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8221"/>
      </w:tblGrid>
      <w:tr w:rsidR="003F1048" w:rsidTr="00420FFD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48" w:rsidRPr="003F1048" w:rsidRDefault="003F1048" w:rsidP="00027CE4">
            <w:pPr>
              <w:spacing w:after="0"/>
              <w:rPr>
                <w:b/>
                <w:sz w:val="20"/>
                <w:szCs w:val="20"/>
              </w:rPr>
            </w:pPr>
            <w:r w:rsidRPr="003F1048">
              <w:rPr>
                <w:b/>
                <w:sz w:val="20"/>
                <w:szCs w:val="20"/>
              </w:rPr>
              <w:t>2. Contact details for pharmacy owner (indivi</w:t>
            </w:r>
            <w:r w:rsidR="00C50141">
              <w:rPr>
                <w:b/>
                <w:sz w:val="20"/>
                <w:szCs w:val="20"/>
              </w:rPr>
              <w:t>dual, partnership or proprietary owner</w:t>
            </w:r>
            <w:r w:rsidRPr="003F1048">
              <w:rPr>
                <w:b/>
                <w:sz w:val="20"/>
                <w:szCs w:val="20"/>
              </w:rPr>
              <w:t>)</w:t>
            </w:r>
            <w:r w:rsidR="00027CE4">
              <w:rPr>
                <w:b/>
                <w:sz w:val="20"/>
                <w:szCs w:val="20"/>
              </w:rPr>
              <w:t xml:space="preserve"> after closure</w:t>
            </w:r>
          </w:p>
        </w:tc>
      </w:tr>
      <w:tr w:rsidR="003F1048" w:rsidTr="00420FFD">
        <w:trPr>
          <w:trHeight w:val="397"/>
        </w:trPr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1048" w:rsidRDefault="003F1048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048" w:rsidRDefault="00124CDE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3F1048" w:rsidTr="00C50141">
        <w:trPr>
          <w:trHeight w:val="397"/>
        </w:trPr>
        <w:tc>
          <w:tcPr>
            <w:tcW w:w="10348" w:type="dxa"/>
            <w:gridSpan w:val="3"/>
          </w:tcPr>
          <w:p w:rsidR="003F1048" w:rsidRDefault="00C50141" w:rsidP="00C5014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F1048">
              <w:rPr>
                <w:sz w:val="20"/>
                <w:szCs w:val="20"/>
              </w:rPr>
              <w:t>Individual owner or nominated person to contact where partnership or proprietary owner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048" w:rsidTr="00420FFD">
        <w:trPr>
          <w:trHeight w:val="397"/>
        </w:trPr>
        <w:tc>
          <w:tcPr>
            <w:tcW w:w="2127" w:type="dxa"/>
            <w:gridSpan w:val="2"/>
            <w:vAlign w:val="bottom"/>
          </w:tcPr>
          <w:p w:rsidR="003F1048" w:rsidRDefault="003F1048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Phone/Mobile: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:rsidR="003F1048" w:rsidRDefault="00124CDE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3F1048" w:rsidTr="00420FFD">
        <w:trPr>
          <w:trHeight w:val="397"/>
        </w:trPr>
        <w:tc>
          <w:tcPr>
            <w:tcW w:w="2127" w:type="dxa"/>
            <w:gridSpan w:val="2"/>
            <w:vAlign w:val="bottom"/>
          </w:tcPr>
          <w:p w:rsidR="003F1048" w:rsidRDefault="003F1048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048" w:rsidRDefault="00124CDE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</w:tbl>
    <w:p w:rsidR="00610241" w:rsidRDefault="00610241" w:rsidP="00FA15A3">
      <w:pPr>
        <w:spacing w:after="0"/>
        <w:rPr>
          <w:sz w:val="20"/>
          <w:szCs w:val="20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"/>
        <w:gridCol w:w="5090"/>
        <w:gridCol w:w="1134"/>
        <w:gridCol w:w="2693"/>
      </w:tblGrid>
      <w:tr w:rsidR="0007657D" w:rsidTr="00420FFD">
        <w:trPr>
          <w:trHeight w:val="3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7D" w:rsidRPr="0007657D" w:rsidRDefault="0007657D" w:rsidP="00420FFD">
            <w:pPr>
              <w:spacing w:after="0"/>
              <w:rPr>
                <w:b/>
                <w:sz w:val="20"/>
                <w:szCs w:val="20"/>
              </w:rPr>
            </w:pPr>
            <w:r w:rsidRPr="0007657D">
              <w:rPr>
                <w:b/>
                <w:sz w:val="20"/>
                <w:szCs w:val="20"/>
              </w:rPr>
              <w:t>3. Storage location of Schedule 4 and Schedule 8 records</w:t>
            </w:r>
          </w:p>
        </w:tc>
      </w:tr>
      <w:tr w:rsidR="00CB0C81" w:rsidTr="00280A46">
        <w:trPr>
          <w:trHeight w:val="612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includes original dispensed prescriptions and repeats, any electronic copies of prescriptions, electronic or hard copy dispensing records, copies of stock orders and invoices and Schedule 8 registers</w:t>
            </w:r>
          </w:p>
        </w:tc>
      </w:tr>
      <w:tr w:rsidR="0007657D" w:rsidTr="00420FFD">
        <w:trPr>
          <w:trHeight w:val="397"/>
        </w:trPr>
        <w:tc>
          <w:tcPr>
            <w:tcW w:w="1431" w:type="dxa"/>
            <w:gridSpan w:val="2"/>
            <w:vAlign w:val="bottom"/>
          </w:tcPr>
          <w:p w:rsidR="0007657D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8917" w:type="dxa"/>
            <w:gridSpan w:val="3"/>
            <w:tcBorders>
              <w:bottom w:val="single" w:sz="4" w:space="0" w:color="auto"/>
            </w:tcBorders>
            <w:vAlign w:val="bottom"/>
          </w:tcPr>
          <w:p w:rsidR="0007657D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940836" w:rsidRPr="00610241" w:rsidTr="00E94DE4">
        <w:trPr>
          <w:trHeight w:val="397"/>
        </w:trPr>
        <w:tc>
          <w:tcPr>
            <w:tcW w:w="1418" w:type="dxa"/>
            <w:vAlign w:val="bottom"/>
          </w:tcPr>
          <w:p w:rsidR="00940836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</w:tbl>
    <w:p w:rsidR="003F1048" w:rsidRDefault="003F1048" w:rsidP="00FA15A3">
      <w:pPr>
        <w:spacing w:after="0"/>
        <w:rPr>
          <w:sz w:val="20"/>
          <w:szCs w:val="20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1134"/>
        <w:gridCol w:w="284"/>
        <w:gridCol w:w="708"/>
        <w:gridCol w:w="521"/>
        <w:gridCol w:w="472"/>
        <w:gridCol w:w="708"/>
      </w:tblGrid>
      <w:tr w:rsidR="00CB0C81" w:rsidTr="00940836">
        <w:trPr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81" w:rsidRPr="00CB0C81" w:rsidRDefault="00CB0C81" w:rsidP="00461310">
            <w:pPr>
              <w:spacing w:after="0"/>
              <w:rPr>
                <w:b/>
                <w:sz w:val="20"/>
                <w:szCs w:val="20"/>
              </w:rPr>
            </w:pPr>
            <w:r w:rsidRPr="00CB0C81">
              <w:rPr>
                <w:b/>
                <w:sz w:val="20"/>
                <w:szCs w:val="20"/>
              </w:rPr>
              <w:t>4. Transfer location of Schedule 4 and Schedule 8 medicines</w:t>
            </w:r>
          </w:p>
        </w:tc>
      </w:tr>
      <w:tr w:rsidR="00461310" w:rsidTr="002343B6">
        <w:trPr>
          <w:trHeight w:val="397"/>
        </w:trPr>
        <w:tc>
          <w:tcPr>
            <w:tcW w:w="7939" w:type="dxa"/>
            <w:gridSpan w:val="4"/>
            <w:vAlign w:val="center"/>
          </w:tcPr>
          <w:p w:rsidR="00461310" w:rsidRPr="00610241" w:rsidRDefault="00461310" w:rsidP="00461310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the pharmacy that is closing be transferring any stock to another pharmacy? </w:t>
            </w:r>
          </w:p>
        </w:tc>
        <w:tc>
          <w:tcPr>
            <w:tcW w:w="708" w:type="dxa"/>
            <w:vAlign w:val="center"/>
          </w:tcPr>
          <w:p w:rsidR="00461310" w:rsidRPr="00610241" w:rsidRDefault="00461310" w:rsidP="00461310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21" w:type="dxa"/>
            <w:vAlign w:val="center"/>
          </w:tcPr>
          <w:p w:rsidR="00461310" w:rsidRPr="00610241" w:rsidRDefault="00461310" w:rsidP="00461310">
            <w:pPr>
              <w:spacing w:after="0"/>
              <w:outlineLvl w:val="0"/>
              <w:rPr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  <w:tc>
          <w:tcPr>
            <w:tcW w:w="472" w:type="dxa"/>
            <w:vAlign w:val="center"/>
          </w:tcPr>
          <w:p w:rsidR="00461310" w:rsidRPr="00610241" w:rsidRDefault="00461310" w:rsidP="00461310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08" w:type="dxa"/>
            <w:vAlign w:val="center"/>
          </w:tcPr>
          <w:p w:rsidR="00461310" w:rsidRPr="00610241" w:rsidRDefault="00461310" w:rsidP="00461310">
            <w:pPr>
              <w:spacing w:after="0"/>
              <w:outlineLvl w:val="0"/>
              <w:rPr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</w:tr>
      <w:tr w:rsidR="00280398" w:rsidTr="005A72C3">
        <w:trPr>
          <w:trHeight w:val="397"/>
        </w:trPr>
        <w:tc>
          <w:tcPr>
            <w:tcW w:w="10348" w:type="dxa"/>
            <w:gridSpan w:val="8"/>
            <w:vAlign w:val="bottom"/>
          </w:tcPr>
          <w:p w:rsidR="00280398" w:rsidRDefault="00280398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routine transfer of scheduled medicines between pharmacies is not allowed.</w:t>
            </w:r>
          </w:p>
        </w:tc>
      </w:tr>
      <w:tr w:rsidR="00461310" w:rsidTr="005A72C3">
        <w:trPr>
          <w:trHeight w:val="397"/>
        </w:trPr>
        <w:tc>
          <w:tcPr>
            <w:tcW w:w="10348" w:type="dxa"/>
            <w:gridSpan w:val="8"/>
            <w:vAlign w:val="bottom"/>
          </w:tcPr>
          <w:p w:rsidR="00461310" w:rsidRPr="00610241" w:rsidRDefault="00461310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2343B6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complete details for the receiving pharmacy below. </w:t>
            </w:r>
          </w:p>
        </w:tc>
      </w:tr>
      <w:tr w:rsidR="00940836" w:rsidTr="00940836">
        <w:trPr>
          <w:trHeight w:val="397"/>
        </w:trPr>
        <w:tc>
          <w:tcPr>
            <w:tcW w:w="1843" w:type="dxa"/>
            <w:vAlign w:val="bottom"/>
          </w:tcPr>
          <w:p w:rsidR="00940836" w:rsidRDefault="00940836" w:rsidP="00940836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  name: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vAlign w:val="bottom"/>
          </w:tcPr>
          <w:p w:rsidR="00940836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940836">
        <w:trPr>
          <w:trHeight w:val="397"/>
        </w:trPr>
        <w:tc>
          <w:tcPr>
            <w:tcW w:w="1843" w:type="dxa"/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940836" w:rsidRPr="00610241" w:rsidTr="00E0257C">
        <w:trPr>
          <w:trHeight w:val="397"/>
        </w:trPr>
        <w:tc>
          <w:tcPr>
            <w:tcW w:w="1843" w:type="dxa"/>
            <w:vAlign w:val="bottom"/>
          </w:tcPr>
          <w:p w:rsidR="00940836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bottom"/>
          </w:tcPr>
          <w:p w:rsidR="00940836" w:rsidRPr="00610241" w:rsidRDefault="0094083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461310" w:rsidRPr="00610241" w:rsidTr="002343B6">
        <w:trPr>
          <w:trHeight w:val="664"/>
        </w:trPr>
        <w:tc>
          <w:tcPr>
            <w:tcW w:w="10348" w:type="dxa"/>
            <w:gridSpan w:val="8"/>
            <w:vAlign w:val="bottom"/>
          </w:tcPr>
          <w:p w:rsidR="00461310" w:rsidRPr="00610241" w:rsidRDefault="00461310" w:rsidP="00E94DE4">
            <w:pPr>
              <w:spacing w:after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2343B6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, describe how any </w:t>
            </w:r>
            <w:r w:rsidR="002343B6">
              <w:rPr>
                <w:sz w:val="20"/>
                <w:szCs w:val="20"/>
              </w:rPr>
              <w:t xml:space="preserve">remaining </w:t>
            </w:r>
            <w:r>
              <w:rPr>
                <w:sz w:val="20"/>
                <w:szCs w:val="20"/>
              </w:rPr>
              <w:t>stock of scheduled medicines will be safely disposed of when the pharmacy closes:</w:t>
            </w:r>
          </w:p>
        </w:tc>
      </w:tr>
      <w:tr w:rsidR="00461310" w:rsidRPr="00610241" w:rsidTr="002343B6">
        <w:trPr>
          <w:trHeight w:val="397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vAlign w:val="bottom"/>
          </w:tcPr>
          <w:p w:rsidR="00461310" w:rsidRPr="00610241" w:rsidRDefault="002343B6" w:rsidP="00E94DE4">
            <w:pPr>
              <w:spacing w:after="0"/>
              <w:outlineLvl w:val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461310" w:rsidRPr="00610241" w:rsidTr="002343B6">
        <w:trPr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310" w:rsidRPr="00610241" w:rsidRDefault="00461310" w:rsidP="00E94DE4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  <w:tr w:rsidR="00461310" w:rsidRPr="00610241" w:rsidTr="002343B6">
        <w:trPr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1310" w:rsidRPr="00610241" w:rsidRDefault="00461310" w:rsidP="00E94DE4">
            <w:pPr>
              <w:spacing w:after="0"/>
              <w:outlineLvl w:val="0"/>
              <w:rPr>
                <w:sz w:val="20"/>
                <w:szCs w:val="20"/>
              </w:rPr>
            </w:pPr>
          </w:p>
        </w:tc>
      </w:tr>
    </w:tbl>
    <w:p w:rsidR="002343B6" w:rsidRDefault="002343B6" w:rsidP="00610241">
      <w:pPr>
        <w:rPr>
          <w:sz w:val="20"/>
          <w:szCs w:val="20"/>
        </w:rPr>
      </w:pPr>
    </w:p>
    <w:p w:rsidR="002343B6" w:rsidRDefault="002343B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852"/>
        <w:gridCol w:w="2126"/>
        <w:gridCol w:w="1716"/>
        <w:gridCol w:w="695"/>
        <w:gridCol w:w="141"/>
        <w:gridCol w:w="1984"/>
      </w:tblGrid>
      <w:tr w:rsidR="00CB0C81" w:rsidTr="00420FFD">
        <w:trPr>
          <w:trHeight w:val="39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81" w:rsidRPr="00CB0C81" w:rsidRDefault="00CB0C81" w:rsidP="00420FFD">
            <w:pPr>
              <w:spacing w:after="0"/>
              <w:rPr>
                <w:b/>
                <w:sz w:val="20"/>
                <w:szCs w:val="20"/>
              </w:rPr>
            </w:pPr>
            <w:r w:rsidRPr="00CB0C81">
              <w:rPr>
                <w:b/>
                <w:sz w:val="20"/>
                <w:szCs w:val="20"/>
              </w:rPr>
              <w:lastRenderedPageBreak/>
              <w:t>5. List of Schedule 8 medicines</w:t>
            </w:r>
            <w:r w:rsidR="00940836">
              <w:rPr>
                <w:b/>
                <w:sz w:val="20"/>
                <w:szCs w:val="20"/>
              </w:rPr>
              <w:t xml:space="preserve"> transferred</w:t>
            </w:r>
          </w:p>
        </w:tc>
      </w:tr>
      <w:tr w:rsidR="00CB0C81" w:rsidTr="00E0257C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0C81" w:rsidRDefault="00CB0C81" w:rsidP="0023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</w:t>
            </w:r>
            <w:r w:rsidR="00940836">
              <w:rPr>
                <w:sz w:val="20"/>
                <w:szCs w:val="20"/>
              </w:rPr>
              <w:t xml:space="preserve">lete this section if the </w:t>
            </w:r>
            <w:r w:rsidR="002343B6">
              <w:rPr>
                <w:sz w:val="20"/>
                <w:szCs w:val="20"/>
              </w:rPr>
              <w:t xml:space="preserve">closing </w:t>
            </w:r>
            <w:r w:rsidR="00940836">
              <w:rPr>
                <w:sz w:val="20"/>
                <w:szCs w:val="20"/>
              </w:rPr>
              <w:t xml:space="preserve">pharmacy </w:t>
            </w:r>
            <w:r w:rsidR="002343B6">
              <w:rPr>
                <w:sz w:val="20"/>
                <w:szCs w:val="20"/>
              </w:rPr>
              <w:t>will be transferring</w:t>
            </w:r>
            <w:r>
              <w:rPr>
                <w:sz w:val="20"/>
                <w:szCs w:val="20"/>
              </w:rPr>
              <w:t xml:space="preserve"> </w:t>
            </w:r>
            <w:r w:rsidR="00940836">
              <w:rPr>
                <w:sz w:val="20"/>
                <w:szCs w:val="20"/>
              </w:rPr>
              <w:t>Schedule 8 medicines to another pharmacy</w:t>
            </w:r>
            <w:r w:rsidR="00461310">
              <w:rPr>
                <w:sz w:val="20"/>
                <w:szCs w:val="20"/>
              </w:rPr>
              <w:t>.</w:t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medicine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E0257C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C81" w:rsidRPr="00610241" w:rsidRDefault="00CB0C81" w:rsidP="00420FFD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CB0C81" w:rsidTr="00677F95">
        <w:trPr>
          <w:trHeight w:val="397"/>
        </w:trPr>
        <w:tc>
          <w:tcPr>
            <w:tcW w:w="10348" w:type="dxa"/>
            <w:gridSpan w:val="7"/>
          </w:tcPr>
          <w:p w:rsidR="00CB0C81" w:rsidRPr="00610241" w:rsidRDefault="00385102" w:rsidP="00234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there </w:t>
            </w:r>
            <w:r w:rsidR="002343B6">
              <w:rPr>
                <w:sz w:val="20"/>
                <w:szCs w:val="20"/>
              </w:rPr>
              <w:t>is insufficient space,</w:t>
            </w:r>
            <w:r>
              <w:rPr>
                <w:sz w:val="20"/>
                <w:szCs w:val="20"/>
              </w:rPr>
              <w:t xml:space="preserve"> please attach extra pages to this form.</w:t>
            </w:r>
          </w:p>
        </w:tc>
      </w:tr>
      <w:tr w:rsidR="00420FFD" w:rsidTr="005D6350">
        <w:trPr>
          <w:trHeight w:val="39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FD" w:rsidRPr="005D6350" w:rsidRDefault="00420FFD" w:rsidP="005D6350">
            <w:pPr>
              <w:spacing w:after="0"/>
              <w:rPr>
                <w:rFonts w:eastAsia="MS Gothic" w:cs="Arial"/>
                <w:b/>
                <w:sz w:val="20"/>
                <w:szCs w:val="20"/>
              </w:rPr>
            </w:pPr>
            <w:r w:rsidRPr="005D6350">
              <w:rPr>
                <w:rFonts w:eastAsia="MS Gothic" w:cs="Arial"/>
                <w:b/>
                <w:sz w:val="20"/>
                <w:szCs w:val="20"/>
              </w:rPr>
              <w:t>6. Details of pharmacist with overall responsibility at time of closure</w:t>
            </w:r>
          </w:p>
        </w:tc>
      </w:tr>
      <w:tr w:rsidR="005D6350" w:rsidTr="00E0257C">
        <w:trPr>
          <w:trHeight w:val="397"/>
        </w:trPr>
        <w:tc>
          <w:tcPr>
            <w:tcW w:w="2834" w:type="dxa"/>
            <w:tcBorders>
              <w:top w:val="single" w:sz="4" w:space="0" w:color="auto"/>
            </w:tcBorders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Name: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5D6350" w:rsidTr="00E0257C">
        <w:trPr>
          <w:trHeight w:val="397"/>
        </w:trPr>
        <w:tc>
          <w:tcPr>
            <w:tcW w:w="2834" w:type="dxa"/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AHPRA registration number: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5D6350" w:rsidTr="00E0257C">
        <w:trPr>
          <w:trHeight w:val="397"/>
        </w:trPr>
        <w:tc>
          <w:tcPr>
            <w:tcW w:w="2834" w:type="dxa"/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Phone/Mobile: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5D6350" w:rsidTr="00E0257C">
        <w:trPr>
          <w:trHeight w:val="397"/>
        </w:trPr>
        <w:tc>
          <w:tcPr>
            <w:tcW w:w="2834" w:type="dxa"/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Email address: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6350" w:rsidRDefault="005D6350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  <w:tr w:rsidR="00677F95" w:rsidTr="00E0257C">
        <w:trPr>
          <w:trHeight w:val="624"/>
        </w:trPr>
        <w:tc>
          <w:tcPr>
            <w:tcW w:w="2834" w:type="dxa"/>
            <w:vAlign w:val="bottom"/>
          </w:tcPr>
          <w:p w:rsidR="00677F95" w:rsidRDefault="00677F95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Signature: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7F95" w:rsidRDefault="00CB2686" w:rsidP="005D6350">
            <w:pPr>
              <w:spacing w:after="0"/>
              <w:rPr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  <w:tc>
          <w:tcPr>
            <w:tcW w:w="695" w:type="dxa"/>
            <w:tcBorders>
              <w:top w:val="single" w:sz="4" w:space="0" w:color="auto"/>
            </w:tcBorders>
            <w:vAlign w:val="bottom"/>
          </w:tcPr>
          <w:p w:rsidR="00677F95" w:rsidRDefault="00677F95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Date: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7F95" w:rsidRDefault="00CB2686" w:rsidP="005D63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610241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0241">
              <w:rPr>
                <w:sz w:val="20"/>
                <w:szCs w:val="20"/>
              </w:rPr>
              <w:instrText xml:space="preserve"> FORMTEXT </w:instrText>
            </w:r>
            <w:r w:rsidRPr="00610241">
              <w:rPr>
                <w:sz w:val="20"/>
                <w:szCs w:val="20"/>
              </w:rPr>
            </w:r>
            <w:r w:rsidRPr="00610241">
              <w:rPr>
                <w:sz w:val="20"/>
                <w:szCs w:val="20"/>
              </w:rPr>
              <w:fldChar w:fldCharType="separate"/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t> </w:t>
            </w:r>
            <w:r w:rsidRPr="00610241">
              <w:rPr>
                <w:sz w:val="20"/>
                <w:szCs w:val="20"/>
              </w:rPr>
              <w:fldChar w:fldCharType="end"/>
            </w:r>
          </w:p>
        </w:tc>
      </w:tr>
    </w:tbl>
    <w:p w:rsidR="00574812" w:rsidRDefault="00574812" w:rsidP="00420FFD">
      <w:pPr>
        <w:ind w:left="-709"/>
        <w:jc w:val="both"/>
        <w:rPr>
          <w:rFonts w:eastAsia="MS Gothic" w:cs="Arial"/>
          <w:sz w:val="20"/>
          <w:szCs w:val="20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321E9E" w:rsidTr="00321E9E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E" w:rsidRPr="00321E9E" w:rsidRDefault="00321E9E" w:rsidP="00321E9E">
            <w:pPr>
              <w:spacing w:after="0"/>
              <w:rPr>
                <w:rFonts w:eastAsia="MS Gothic" w:cs="Arial"/>
                <w:b/>
                <w:sz w:val="20"/>
                <w:szCs w:val="20"/>
              </w:rPr>
            </w:pPr>
            <w:r w:rsidRPr="00321E9E">
              <w:rPr>
                <w:rFonts w:eastAsia="MS Gothic" w:cs="Arial"/>
                <w:b/>
                <w:sz w:val="20"/>
                <w:szCs w:val="20"/>
              </w:rPr>
              <w:t>7. Checklist</w:t>
            </w:r>
          </w:p>
        </w:tc>
      </w:tr>
      <w:tr w:rsidR="00655D63" w:rsidTr="00280A46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4"/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475568" w:rsidRPr="00475568" w:rsidRDefault="00655D63" w:rsidP="00475568">
            <w:pPr>
              <w:spacing w:after="0"/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eastAsia="MS Gothic" w:cs="Arial"/>
                <w:sz w:val="20"/>
                <w:szCs w:val="20"/>
              </w:rPr>
              <w:t>Arranged transfer of any remaining repeats for Schedule 8 medicines to another pharmacy.</w:t>
            </w:r>
            <w:r>
              <w:t xml:space="preserve"> </w:t>
            </w:r>
            <w:hyperlink r:id="rId9" w:history="1">
              <w:r w:rsidRPr="00940836">
                <w:rPr>
                  <w:rStyle w:val="Hyperlink"/>
                  <w:rFonts w:cs="Arial"/>
                  <w:color w:val="005B38"/>
                  <w:sz w:val="20"/>
                  <w:szCs w:val="20"/>
                  <w:shd w:val="clear" w:color="auto" w:fill="FFFFFF"/>
                </w:rPr>
                <w:t>Application form (Word 810KB)</w:t>
              </w:r>
            </w:hyperlink>
            <w:r w:rsidRPr="00940836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55D63" w:rsidTr="00280A46">
        <w:trPr>
          <w:trHeight w:val="567"/>
        </w:trPr>
        <w:tc>
          <w:tcPr>
            <w:tcW w:w="567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655D63" w:rsidRDefault="00B45CC4" w:rsidP="00677F95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Submitted a final S</w:t>
            </w:r>
            <w:r w:rsidR="00655D63">
              <w:rPr>
                <w:rFonts w:eastAsia="MS Gothic" w:cs="Arial"/>
                <w:sz w:val="20"/>
                <w:szCs w:val="20"/>
              </w:rPr>
              <w:t xml:space="preserve">chedule 8 and CPOP report to the Department for </w:t>
            </w:r>
            <w:r w:rsidR="00677F95">
              <w:rPr>
                <w:rFonts w:eastAsia="MS Gothic" w:cs="Arial"/>
                <w:sz w:val="20"/>
                <w:szCs w:val="20"/>
              </w:rPr>
              <w:t xml:space="preserve">the period from the last monthly report </w:t>
            </w:r>
            <w:r w:rsidR="00D8317D">
              <w:rPr>
                <w:rFonts w:eastAsia="MS Gothic" w:cs="Arial"/>
                <w:sz w:val="20"/>
                <w:szCs w:val="20"/>
              </w:rPr>
              <w:t>to the date of closure, as well as any previous outstanding reports.</w:t>
            </w:r>
          </w:p>
        </w:tc>
      </w:tr>
      <w:tr w:rsidR="00655D63" w:rsidTr="00280A46">
        <w:trPr>
          <w:trHeight w:val="567"/>
        </w:trPr>
        <w:tc>
          <w:tcPr>
            <w:tcW w:w="567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Advised</w:t>
            </w:r>
            <w:r w:rsidR="00677F95">
              <w:rPr>
                <w:rFonts w:eastAsia="MS Gothic" w:cs="Arial"/>
                <w:sz w:val="20"/>
                <w:szCs w:val="20"/>
              </w:rPr>
              <w:t xml:space="preserve"> the Pharmacy R</w:t>
            </w:r>
            <w:r>
              <w:rPr>
                <w:rFonts w:eastAsia="MS Gothic" w:cs="Arial"/>
                <w:sz w:val="20"/>
                <w:szCs w:val="20"/>
              </w:rPr>
              <w:t>egistration Board of Western Australia of the intention to close at least 14 days before the planned date of closure.</w:t>
            </w:r>
          </w:p>
        </w:tc>
      </w:tr>
      <w:tr w:rsidR="00655D63" w:rsidTr="00280A46">
        <w:trPr>
          <w:trHeight w:val="567"/>
        </w:trPr>
        <w:tc>
          <w:tcPr>
            <w:tcW w:w="567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655D63" w:rsidRPr="00655D63" w:rsidRDefault="00655D63" w:rsidP="00475568">
            <w:pPr>
              <w:pStyle w:val="ListParagraph"/>
              <w:numPr>
                <w:ilvl w:val="0"/>
                <w:numId w:val="6"/>
              </w:numPr>
              <w:spacing w:after="0"/>
              <w:ind w:left="5" w:hanging="357"/>
              <w:rPr>
                <w:sz w:val="20"/>
                <w:szCs w:val="20"/>
              </w:rPr>
            </w:pPr>
            <w:r w:rsidRPr="004F1287">
              <w:rPr>
                <w:sz w:val="20"/>
                <w:szCs w:val="20"/>
              </w:rPr>
              <w:t xml:space="preserve">Advised the Community Pharmacotherapy Program of the intention to </w:t>
            </w:r>
            <w:r>
              <w:rPr>
                <w:sz w:val="20"/>
                <w:szCs w:val="20"/>
              </w:rPr>
              <w:t xml:space="preserve">close </w:t>
            </w:r>
            <w:r w:rsidRPr="004F1287">
              <w:rPr>
                <w:sz w:val="20"/>
                <w:szCs w:val="20"/>
              </w:rPr>
              <w:t>at least one month prior to closure</w:t>
            </w:r>
            <w:r>
              <w:rPr>
                <w:sz w:val="20"/>
                <w:szCs w:val="20"/>
              </w:rPr>
              <w:t xml:space="preserve"> (for pharmacies </w:t>
            </w:r>
            <w:r w:rsidRPr="004F1287">
              <w:rPr>
                <w:sz w:val="20"/>
                <w:szCs w:val="20"/>
              </w:rPr>
              <w:t>authorised to dispense opioid substitution therapy</w:t>
            </w:r>
            <w:r>
              <w:rPr>
                <w:sz w:val="20"/>
                <w:szCs w:val="20"/>
              </w:rPr>
              <w:t xml:space="preserve"> only)</w:t>
            </w:r>
          </w:p>
        </w:tc>
      </w:tr>
      <w:tr w:rsidR="00655D63" w:rsidTr="00280A46">
        <w:trPr>
          <w:trHeight w:val="567"/>
        </w:trPr>
        <w:tc>
          <w:tcPr>
            <w:tcW w:w="567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E2496F">
              <w:rPr>
                <w:rFonts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96F">
              <w:rPr>
                <w:rFonts w:cs="Arial"/>
              </w:rPr>
              <w:instrText xml:space="preserve"> FORMCHECKBOX </w:instrText>
            </w:r>
            <w:r w:rsidR="004704FE">
              <w:rPr>
                <w:rFonts w:cs="Arial"/>
              </w:rPr>
            </w:r>
            <w:r w:rsidR="004704FE">
              <w:rPr>
                <w:rFonts w:cs="Arial"/>
              </w:rPr>
              <w:fldChar w:fldCharType="separate"/>
            </w:r>
            <w:r w:rsidRPr="00E2496F">
              <w:rPr>
                <w:rFonts w:cs="Arial"/>
              </w:rPr>
              <w:fldChar w:fldCharType="end"/>
            </w:r>
          </w:p>
        </w:tc>
        <w:tc>
          <w:tcPr>
            <w:tcW w:w="9781" w:type="dxa"/>
            <w:vAlign w:val="center"/>
          </w:tcPr>
          <w:p w:rsidR="00655D63" w:rsidRDefault="00655D63" w:rsidP="00475568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Notified other local healthcare providers and pharmacies in nearby towns of the impending closure (for rural pharmacies only).</w:t>
            </w:r>
          </w:p>
        </w:tc>
      </w:tr>
    </w:tbl>
    <w:p w:rsidR="004F1287" w:rsidRPr="004F1287" w:rsidRDefault="004F1287" w:rsidP="00475568">
      <w:pPr>
        <w:pStyle w:val="ListParagraph"/>
        <w:spacing w:after="0"/>
        <w:rPr>
          <w:sz w:val="20"/>
          <w:szCs w:val="20"/>
        </w:rPr>
      </w:pPr>
    </w:p>
    <w:sectPr w:rsidR="004F1287" w:rsidRPr="004F1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1B" w:rsidRDefault="00692C1B" w:rsidP="002340A2">
      <w:pPr>
        <w:spacing w:after="0"/>
      </w:pPr>
      <w:r>
        <w:separator/>
      </w:r>
    </w:p>
  </w:endnote>
  <w:endnote w:type="continuationSeparator" w:id="0">
    <w:p w:rsidR="00692C1B" w:rsidRDefault="00692C1B" w:rsidP="00234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BD" w:rsidRDefault="003B6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98F" w:rsidRDefault="002550E8" w:rsidP="00E9698F">
    <w:pPr>
      <w:pStyle w:val="Footer"/>
      <w:tabs>
        <w:tab w:val="clear" w:pos="9026"/>
        <w:tab w:val="right" w:pos="9356"/>
      </w:tabs>
      <w:ind w:left="-709" w:right="-329"/>
      <w:rPr>
        <w:rFonts w:cs="Arial"/>
        <w:sz w:val="20"/>
      </w:rPr>
    </w:pPr>
    <w:r>
      <w:rPr>
        <w:rFonts w:cs="Arial"/>
        <w:b/>
        <w:sz w:val="20"/>
      </w:rPr>
      <w:t xml:space="preserve">Send completed form to: </w:t>
    </w:r>
    <w:r>
      <w:rPr>
        <w:rFonts w:cs="Arial"/>
        <w:sz w:val="20"/>
      </w:rPr>
      <w:t>Medicines and Poisons Regulation Branch,</w:t>
    </w:r>
    <w:r w:rsidR="000B22B4">
      <w:rPr>
        <w:rFonts w:cs="Arial"/>
        <w:sz w:val="20"/>
      </w:rPr>
      <w:tab/>
    </w:r>
    <w:r w:rsidR="000B22B4" w:rsidRPr="000B22B4">
      <w:rPr>
        <w:rFonts w:cs="Arial"/>
        <w:sz w:val="20"/>
      </w:rPr>
      <w:t xml:space="preserve">Page </w:t>
    </w:r>
    <w:r w:rsidR="000B22B4" w:rsidRPr="000B22B4">
      <w:rPr>
        <w:rFonts w:cs="Arial"/>
        <w:b/>
        <w:sz w:val="20"/>
      </w:rPr>
      <w:fldChar w:fldCharType="begin"/>
    </w:r>
    <w:r w:rsidR="000B22B4" w:rsidRPr="000B22B4">
      <w:rPr>
        <w:rFonts w:cs="Arial"/>
        <w:b/>
        <w:sz w:val="20"/>
      </w:rPr>
      <w:instrText xml:space="preserve"> PAGE  \* Arabic  \* MERGEFORMAT </w:instrText>
    </w:r>
    <w:r w:rsidR="000B22B4" w:rsidRPr="000B22B4">
      <w:rPr>
        <w:rFonts w:cs="Arial"/>
        <w:b/>
        <w:sz w:val="20"/>
      </w:rPr>
      <w:fldChar w:fldCharType="separate"/>
    </w:r>
    <w:r w:rsidR="004704FE">
      <w:rPr>
        <w:rFonts w:cs="Arial"/>
        <w:b/>
        <w:noProof/>
        <w:sz w:val="20"/>
      </w:rPr>
      <w:t>1</w:t>
    </w:r>
    <w:r w:rsidR="000B22B4" w:rsidRPr="000B22B4">
      <w:rPr>
        <w:rFonts w:cs="Arial"/>
        <w:b/>
        <w:sz w:val="20"/>
      </w:rPr>
      <w:fldChar w:fldCharType="end"/>
    </w:r>
    <w:r w:rsidR="000B22B4" w:rsidRPr="000B22B4">
      <w:rPr>
        <w:rFonts w:cs="Arial"/>
        <w:sz w:val="20"/>
      </w:rPr>
      <w:t xml:space="preserve"> of </w:t>
    </w:r>
    <w:r w:rsidR="000B22B4" w:rsidRPr="000B22B4">
      <w:rPr>
        <w:rFonts w:cs="Arial"/>
        <w:b/>
        <w:sz w:val="20"/>
      </w:rPr>
      <w:fldChar w:fldCharType="begin"/>
    </w:r>
    <w:r w:rsidR="000B22B4" w:rsidRPr="000B22B4">
      <w:rPr>
        <w:rFonts w:cs="Arial"/>
        <w:b/>
        <w:sz w:val="20"/>
      </w:rPr>
      <w:instrText xml:space="preserve"> NUMPAGES  \* Arabic  \* MERGEFORMAT </w:instrText>
    </w:r>
    <w:r w:rsidR="000B22B4" w:rsidRPr="000B22B4">
      <w:rPr>
        <w:rFonts w:cs="Arial"/>
        <w:b/>
        <w:sz w:val="20"/>
      </w:rPr>
      <w:fldChar w:fldCharType="separate"/>
    </w:r>
    <w:r w:rsidR="004704FE">
      <w:rPr>
        <w:rFonts w:cs="Arial"/>
        <w:b/>
        <w:noProof/>
        <w:sz w:val="20"/>
      </w:rPr>
      <w:t>2</w:t>
    </w:r>
    <w:r w:rsidR="000B22B4" w:rsidRPr="000B22B4">
      <w:rPr>
        <w:rFonts w:cs="Arial"/>
        <w:b/>
        <w:sz w:val="20"/>
      </w:rPr>
      <w:fldChar w:fldCharType="end"/>
    </w:r>
    <w:r w:rsidR="000B22B4">
      <w:rPr>
        <w:rFonts w:cs="Arial"/>
        <w:sz w:val="20"/>
      </w:rPr>
      <w:tab/>
    </w:r>
  </w:p>
  <w:p w:rsidR="002550E8" w:rsidRPr="002550E8" w:rsidRDefault="002550E8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sz w:val="20"/>
      </w:rPr>
    </w:pPr>
    <w:r w:rsidRPr="002550E8">
      <w:rPr>
        <w:rFonts w:cs="Arial"/>
        <w:sz w:val="20"/>
      </w:rPr>
      <w:t>Department of Health, PO Box 8172</w:t>
    </w:r>
    <w:r w:rsidR="000B22B4">
      <w:rPr>
        <w:rFonts w:cs="Arial"/>
        <w:sz w:val="20"/>
      </w:rPr>
      <w:t>, Perth Business Centre WA 6849.</w:t>
    </w:r>
  </w:p>
  <w:p w:rsidR="002550E8" w:rsidRDefault="002550E8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color w:val="000000"/>
        <w:sz w:val="20"/>
        <w:szCs w:val="20"/>
      </w:rPr>
    </w:pPr>
    <w:r w:rsidRPr="002550E8">
      <w:rPr>
        <w:rFonts w:cs="Arial"/>
        <w:sz w:val="20"/>
      </w:rPr>
      <w:t xml:space="preserve">Facsimile: 9222 2463 </w:t>
    </w:r>
    <w:r w:rsidR="00AB5B06" w:rsidRPr="002550E8">
      <w:rPr>
        <w:rFonts w:cs="Arial"/>
        <w:b/>
        <w:sz w:val="20"/>
        <w:szCs w:val="20"/>
      </w:rPr>
      <w:t>Enquiries:</w:t>
    </w:r>
    <w:r w:rsidR="00AB5B06" w:rsidRPr="002550E8">
      <w:rPr>
        <w:rFonts w:cs="Arial"/>
        <w:sz w:val="20"/>
        <w:szCs w:val="20"/>
      </w:rPr>
      <w:t xml:space="preserve"> Tel </w:t>
    </w:r>
    <w:r w:rsidR="00AB5B06" w:rsidRPr="002550E8">
      <w:rPr>
        <w:rFonts w:cs="Arial"/>
        <w:color w:val="000000"/>
        <w:sz w:val="20"/>
        <w:szCs w:val="20"/>
      </w:rPr>
      <w:t>9222 6</w:t>
    </w:r>
    <w:r w:rsidR="00AB5B06">
      <w:rPr>
        <w:rFonts w:cs="Arial"/>
        <w:color w:val="000000"/>
        <w:sz w:val="20"/>
        <w:szCs w:val="20"/>
      </w:rPr>
      <w:t>883</w:t>
    </w:r>
    <w:r w:rsidR="00AB5B06" w:rsidRPr="00850071">
      <w:rPr>
        <w:rFonts w:cs="Arial"/>
        <w:color w:val="000000"/>
        <w:sz w:val="20"/>
        <w:szCs w:val="20"/>
      </w:rPr>
      <w:t xml:space="preserve"> </w:t>
    </w:r>
    <w:r w:rsidR="00E9698F">
      <w:rPr>
        <w:rFonts w:cs="Arial"/>
        <w:color w:val="000000"/>
        <w:sz w:val="20"/>
        <w:szCs w:val="20"/>
      </w:rPr>
      <w:tab/>
    </w:r>
    <w:r w:rsidR="00E9698F">
      <w:rPr>
        <w:rFonts w:cs="Arial"/>
        <w:color w:val="000000"/>
        <w:sz w:val="20"/>
        <w:szCs w:val="20"/>
      </w:rPr>
      <w:tab/>
      <w:t>D00111</w:t>
    </w:r>
  </w:p>
  <w:p w:rsidR="00AB5B06" w:rsidRPr="00AB5B06" w:rsidRDefault="00AB5B06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b/>
        <w:sz w:val="20"/>
      </w:rPr>
    </w:pPr>
    <w:r w:rsidRPr="00850071">
      <w:rPr>
        <w:rFonts w:cs="Arial"/>
        <w:sz w:val="20"/>
        <w:szCs w:val="20"/>
      </w:rPr>
      <w:t xml:space="preserve">Email </w:t>
    </w:r>
    <w:hyperlink r:id="rId1" w:history="1">
      <w:r w:rsidRPr="00203CF0">
        <w:rPr>
          <w:rStyle w:val="Hyperlink"/>
          <w:rFonts w:cs="Arial"/>
          <w:sz w:val="20"/>
          <w:szCs w:val="20"/>
        </w:rPr>
        <w:t>mprb@health.wa.gov.au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BD" w:rsidRDefault="003B6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1B" w:rsidRDefault="00692C1B" w:rsidP="002340A2">
      <w:pPr>
        <w:spacing w:after="0"/>
      </w:pPr>
      <w:r>
        <w:separator/>
      </w:r>
    </w:p>
  </w:footnote>
  <w:footnote w:type="continuationSeparator" w:id="0">
    <w:p w:rsidR="00692C1B" w:rsidRDefault="00692C1B" w:rsidP="00234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BD" w:rsidRDefault="003B6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A2" w:rsidRDefault="002340A2" w:rsidP="002340A2">
    <w:pPr>
      <w:pStyle w:val="Header"/>
      <w:ind w:hanging="85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4F42E" wp14:editId="49B88517">
              <wp:simplePos x="0" y="0"/>
              <wp:positionH relativeFrom="column">
                <wp:posOffset>3072765</wp:posOffset>
              </wp:positionH>
              <wp:positionV relativeFrom="paragraph">
                <wp:posOffset>209550</wp:posOffset>
              </wp:positionV>
              <wp:extent cx="3391535" cy="340360"/>
              <wp:effectExtent l="5715" t="9525" r="1270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40A2" w:rsidRPr="00436AEA" w:rsidRDefault="002340A2" w:rsidP="000B22B4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Closing a pharmacy business</w:t>
                          </w:r>
                          <w:r w:rsidRPr="00436AEA">
                            <w:rPr>
                              <w:rFonts w:cs="Arial"/>
                              <w:b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95pt;margin-top:16.5pt;width:267.0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" strokecolor="white">
              <v:textbox>
                <w:txbxContent>
                  <w:p w:rsidR="002340A2" w:rsidRPr="00436AEA" w:rsidRDefault="002340A2" w:rsidP="000B22B4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Closing a pharmacy business</w:t>
                    </w:r>
                    <w:r w:rsidRPr="00436AEA">
                      <w:rPr>
                        <w:rFonts w:cs="Arial"/>
                        <w:b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6D6B146" wp14:editId="355BB62D">
          <wp:extent cx="2952750" cy="533400"/>
          <wp:effectExtent l="0" t="0" r="0" b="0"/>
          <wp:docPr id="1" name="Picture 1" descr="department-of-health-long-mono-thumbnail-logo-jpg-5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-of-health-long-mono-thumbnail-logo-jpg-5K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0A2" w:rsidRDefault="002340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BD" w:rsidRDefault="003B6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924"/>
    <w:multiLevelType w:val="hybridMultilevel"/>
    <w:tmpl w:val="9156F9F6"/>
    <w:lvl w:ilvl="0" w:tplc="73366A46">
      <w:start w:val="5"/>
      <w:numFmt w:val="bullet"/>
      <w:lvlText w:val=""/>
      <w:lvlJc w:val="left"/>
      <w:pPr>
        <w:ind w:left="-349" w:hanging="360"/>
      </w:pPr>
      <w:rPr>
        <w:rFonts w:ascii="Symbol" w:eastAsia="MS Gothic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55C4CC4"/>
    <w:multiLevelType w:val="hybridMultilevel"/>
    <w:tmpl w:val="F1D62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FCE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24D4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42E9D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28AC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5D69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67089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28EF"/>
    <w:multiLevelType w:val="hybridMultilevel"/>
    <w:tmpl w:val="DC844936"/>
    <w:lvl w:ilvl="0" w:tplc="0C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45700F43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71D7A"/>
    <w:multiLevelType w:val="hybridMultilevel"/>
    <w:tmpl w:val="119CFB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9478C"/>
    <w:multiLevelType w:val="hybridMultilevel"/>
    <w:tmpl w:val="A12C7DEA"/>
    <w:lvl w:ilvl="0" w:tplc="A650DECA">
      <w:start w:val="5"/>
      <w:numFmt w:val="bullet"/>
      <w:lvlText w:val=""/>
      <w:lvlJc w:val="left"/>
      <w:pPr>
        <w:ind w:left="-349" w:hanging="360"/>
      </w:pPr>
      <w:rPr>
        <w:rFonts w:ascii="Symbol" w:eastAsia="MS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>
    <w:nsid w:val="4DCB21D3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F06D7"/>
    <w:multiLevelType w:val="hybridMultilevel"/>
    <w:tmpl w:val="47AE2B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4366B"/>
    <w:multiLevelType w:val="hybridMultilevel"/>
    <w:tmpl w:val="0B82F070"/>
    <w:lvl w:ilvl="0" w:tplc="241EDB00">
      <w:start w:val="5"/>
      <w:numFmt w:val="bullet"/>
      <w:lvlText w:val=""/>
      <w:lvlJc w:val="left"/>
      <w:pPr>
        <w:ind w:left="11" w:hanging="360"/>
      </w:pPr>
      <w:rPr>
        <w:rFonts w:ascii="Symbol" w:eastAsia="MS Gothic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15"/>
  </w:num>
  <w:num w:numId="12">
    <w:abstractNumId w:val="11"/>
  </w:num>
  <w:num w:numId="13">
    <w:abstractNumId w:val="5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A2"/>
    <w:rsid w:val="000233E7"/>
    <w:rsid w:val="00027CE4"/>
    <w:rsid w:val="00044FA3"/>
    <w:rsid w:val="00055120"/>
    <w:rsid w:val="000672A1"/>
    <w:rsid w:val="00074F18"/>
    <w:rsid w:val="0007657D"/>
    <w:rsid w:val="000B22B4"/>
    <w:rsid w:val="000C2545"/>
    <w:rsid w:val="000D2B75"/>
    <w:rsid w:val="000E5B24"/>
    <w:rsid w:val="00124CDE"/>
    <w:rsid w:val="001437E0"/>
    <w:rsid w:val="00151848"/>
    <w:rsid w:val="00160C5B"/>
    <w:rsid w:val="00171B7B"/>
    <w:rsid w:val="001A43F4"/>
    <w:rsid w:val="001B5481"/>
    <w:rsid w:val="001C132A"/>
    <w:rsid w:val="001C7D1F"/>
    <w:rsid w:val="001F6030"/>
    <w:rsid w:val="001F68E9"/>
    <w:rsid w:val="00215E2B"/>
    <w:rsid w:val="00216F25"/>
    <w:rsid w:val="00220E8F"/>
    <w:rsid w:val="002340A2"/>
    <w:rsid w:val="002343B6"/>
    <w:rsid w:val="0024319B"/>
    <w:rsid w:val="002550E8"/>
    <w:rsid w:val="00280398"/>
    <w:rsid w:val="00280A46"/>
    <w:rsid w:val="002C7D7D"/>
    <w:rsid w:val="002F7FE3"/>
    <w:rsid w:val="00321E9E"/>
    <w:rsid w:val="00355004"/>
    <w:rsid w:val="00385102"/>
    <w:rsid w:val="003929E7"/>
    <w:rsid w:val="003B6FBD"/>
    <w:rsid w:val="003C4587"/>
    <w:rsid w:val="003F1048"/>
    <w:rsid w:val="00420FFD"/>
    <w:rsid w:val="00461310"/>
    <w:rsid w:val="00466DB9"/>
    <w:rsid w:val="004704FE"/>
    <w:rsid w:val="00471692"/>
    <w:rsid w:val="00475568"/>
    <w:rsid w:val="004A609E"/>
    <w:rsid w:val="004C2780"/>
    <w:rsid w:val="004C6976"/>
    <w:rsid w:val="004F1287"/>
    <w:rsid w:val="00503936"/>
    <w:rsid w:val="0056716B"/>
    <w:rsid w:val="00574812"/>
    <w:rsid w:val="005A409E"/>
    <w:rsid w:val="005D6350"/>
    <w:rsid w:val="00610241"/>
    <w:rsid w:val="00655D63"/>
    <w:rsid w:val="00663477"/>
    <w:rsid w:val="00671B94"/>
    <w:rsid w:val="00677F95"/>
    <w:rsid w:val="00692C1B"/>
    <w:rsid w:val="006C27E1"/>
    <w:rsid w:val="006D2382"/>
    <w:rsid w:val="006F52D0"/>
    <w:rsid w:val="0077027C"/>
    <w:rsid w:val="00787F76"/>
    <w:rsid w:val="007D793C"/>
    <w:rsid w:val="00840CCB"/>
    <w:rsid w:val="00850095"/>
    <w:rsid w:val="00881846"/>
    <w:rsid w:val="00897837"/>
    <w:rsid w:val="008E2138"/>
    <w:rsid w:val="008F7FE4"/>
    <w:rsid w:val="00906251"/>
    <w:rsid w:val="00930DF8"/>
    <w:rsid w:val="00940836"/>
    <w:rsid w:val="00943244"/>
    <w:rsid w:val="009668ED"/>
    <w:rsid w:val="00981DA1"/>
    <w:rsid w:val="00990D6C"/>
    <w:rsid w:val="00A24C04"/>
    <w:rsid w:val="00A8031A"/>
    <w:rsid w:val="00A91C4C"/>
    <w:rsid w:val="00AA742C"/>
    <w:rsid w:val="00AB5B06"/>
    <w:rsid w:val="00B45CC4"/>
    <w:rsid w:val="00B7160C"/>
    <w:rsid w:val="00B91838"/>
    <w:rsid w:val="00BB5682"/>
    <w:rsid w:val="00BC7255"/>
    <w:rsid w:val="00BD41EB"/>
    <w:rsid w:val="00BE3C2D"/>
    <w:rsid w:val="00C50141"/>
    <w:rsid w:val="00C7143D"/>
    <w:rsid w:val="00C9241A"/>
    <w:rsid w:val="00CA1747"/>
    <w:rsid w:val="00CB0C81"/>
    <w:rsid w:val="00CB2686"/>
    <w:rsid w:val="00CE6196"/>
    <w:rsid w:val="00CF64E2"/>
    <w:rsid w:val="00D03118"/>
    <w:rsid w:val="00D147D4"/>
    <w:rsid w:val="00D24D2B"/>
    <w:rsid w:val="00D5225A"/>
    <w:rsid w:val="00D62CCF"/>
    <w:rsid w:val="00D6453E"/>
    <w:rsid w:val="00D7523D"/>
    <w:rsid w:val="00D8317D"/>
    <w:rsid w:val="00D85700"/>
    <w:rsid w:val="00D91EA3"/>
    <w:rsid w:val="00D9301F"/>
    <w:rsid w:val="00D974A5"/>
    <w:rsid w:val="00DE4BFE"/>
    <w:rsid w:val="00E0257C"/>
    <w:rsid w:val="00E3002A"/>
    <w:rsid w:val="00E40563"/>
    <w:rsid w:val="00E47483"/>
    <w:rsid w:val="00E67D79"/>
    <w:rsid w:val="00E9698F"/>
    <w:rsid w:val="00EB0DAB"/>
    <w:rsid w:val="00F12934"/>
    <w:rsid w:val="00FA15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0A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0A2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4F12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0A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0A2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4F1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2.health.wa.gov.au/~/media/Files/Corporate/general%20documents/medicines%20and%20poisons/Word/Application-Inter-pharmacy-transfer-of-Schedule-8-prescription.do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0659-A5B9-405F-9B4B-77BEC176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2019-11-20T08:26:00Z</dcterms:created>
  <dcterms:modified xsi:type="dcterms:W3CDTF">2019-11-21T01:17:00Z</dcterms:modified>
</cp:coreProperties>
</file>