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91F66" w14:textId="77777777" w:rsidR="002E5F5B" w:rsidRPr="00E775B0" w:rsidRDefault="002E5F5B" w:rsidP="00E775B0">
      <w:r>
        <w:rPr>
          <w:noProof/>
          <w:lang w:eastAsia="en-AU"/>
        </w:rPr>
        <w:drawing>
          <wp:inline distT="0" distB="0" distL="0" distR="0" wp14:anchorId="15391F78" wp14:editId="15391F79">
            <wp:extent cx="2674800" cy="493200"/>
            <wp:effectExtent l="0" t="0" r="0" b="2540"/>
            <wp:docPr id="1" name="Picture 1" descr="Department of Health Logo, Government of Western Australia. Image of Government state badge."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_of_health_long_colour_prin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4800" cy="493200"/>
                    </a:xfrm>
                    <a:prstGeom prst="rect">
                      <a:avLst/>
                    </a:prstGeom>
                  </pic:spPr>
                </pic:pic>
              </a:graphicData>
            </a:graphic>
          </wp:inline>
        </w:drawing>
      </w:r>
    </w:p>
    <w:p w14:paraId="79DD1631" w14:textId="018B6CAA" w:rsidR="00824985" w:rsidRDefault="00824985" w:rsidP="002E5F5B">
      <w:pPr>
        <w:rPr>
          <w:rFonts w:eastAsiaTheme="majorEastAsia" w:cstheme="majorBidi"/>
          <w:bCs/>
          <w:color w:val="005B38" w:themeColor="accent1"/>
          <w:sz w:val="64"/>
          <w:szCs w:val="28"/>
        </w:rPr>
      </w:pPr>
      <w:r w:rsidRPr="00824985">
        <w:rPr>
          <w:rFonts w:eastAsiaTheme="majorEastAsia" w:cstheme="majorBidi"/>
          <w:bCs/>
          <w:color w:val="005B38" w:themeColor="accent1"/>
          <w:sz w:val="64"/>
          <w:szCs w:val="28"/>
        </w:rPr>
        <w:t>Performance Indicators Form - Newborn Bloodspot Screening Program</w:t>
      </w:r>
    </w:p>
    <w:p w14:paraId="023FB03E" w14:textId="59DC0B3B" w:rsidR="00824985" w:rsidRDefault="00824985" w:rsidP="002E5F5B">
      <w:pPr>
        <w:pStyle w:val="Heading2"/>
        <w:rPr>
          <w:rFonts w:eastAsiaTheme="minorHAnsi" w:cstheme="minorBidi"/>
          <w:b w:val="0"/>
          <w:bCs w:val="0"/>
          <w:color w:val="auto"/>
          <w:sz w:val="24"/>
          <w:szCs w:val="22"/>
        </w:rPr>
      </w:pPr>
      <w:r w:rsidRPr="00824985">
        <w:rPr>
          <w:rFonts w:eastAsiaTheme="minorHAnsi" w:cstheme="minorBidi"/>
          <w:b w:val="0"/>
          <w:bCs w:val="0"/>
          <w:color w:val="auto"/>
          <w:sz w:val="24"/>
          <w:szCs w:val="22"/>
        </w:rPr>
        <w:t xml:space="preserve">This monitoring report provides data against six national performance indicators for Newborn Bloodspot Screening Programs in Australia. PathWest Laboratory Medicine WA is required to record and report the following data for annual submission to the WA Department of Health via the Office of Population Health Genomics </w:t>
      </w:r>
      <w:hyperlink r:id="rId12" w:history="1">
        <w:r w:rsidRPr="00CE4A2E">
          <w:rPr>
            <w:rStyle w:val="Hyperlink"/>
            <w:rFonts w:eastAsiaTheme="minorHAnsi" w:cstheme="minorBidi"/>
            <w:b w:val="0"/>
            <w:bCs w:val="0"/>
            <w:szCs w:val="22"/>
          </w:rPr>
          <w:t>genomics@health.wa.gov.au</w:t>
        </w:r>
      </w:hyperlink>
      <w:r>
        <w:rPr>
          <w:rFonts w:eastAsiaTheme="minorHAnsi" w:cstheme="minorBidi"/>
          <w:b w:val="0"/>
          <w:bCs w:val="0"/>
          <w:color w:val="auto"/>
          <w:sz w:val="24"/>
          <w:szCs w:val="22"/>
        </w:rPr>
        <w:t xml:space="preserve"> .</w:t>
      </w:r>
    </w:p>
    <w:p w14:paraId="17F54FA0" w14:textId="77777777" w:rsidR="00824985" w:rsidRPr="00824985" w:rsidRDefault="00824985" w:rsidP="00824985"/>
    <w:p w14:paraId="3C3A579B" w14:textId="578535CF" w:rsidR="00824985" w:rsidRPr="00824985" w:rsidRDefault="00824985" w:rsidP="00824985">
      <w:pPr>
        <w:rPr>
          <w:rFonts w:eastAsiaTheme="majorEastAsia" w:cstheme="majorBidi"/>
          <w:b/>
          <w:bCs/>
          <w:color w:val="005B38" w:themeColor="accent1"/>
          <w:sz w:val="26"/>
        </w:rPr>
      </w:pPr>
      <w:r w:rsidRPr="00824985">
        <w:rPr>
          <w:rFonts w:eastAsiaTheme="majorEastAsia" w:cstheme="majorBidi"/>
          <w:b/>
          <w:bCs/>
          <w:color w:val="005B38" w:themeColor="accent1"/>
          <w:sz w:val="26"/>
        </w:rPr>
        <w:t>Table 1. Performance Indicators for the WA Newborn Bloodspot Screening Program</w:t>
      </w:r>
    </w:p>
    <w:tbl>
      <w:tblPr>
        <w:tblStyle w:val="TableGrid"/>
        <w:tblW w:w="0" w:type="auto"/>
        <w:tblLook w:val="04A0" w:firstRow="1" w:lastRow="0" w:firstColumn="1" w:lastColumn="0" w:noHBand="0" w:noVBand="1"/>
      </w:tblPr>
      <w:tblGrid>
        <w:gridCol w:w="571"/>
        <w:gridCol w:w="1721"/>
        <w:gridCol w:w="2747"/>
        <w:gridCol w:w="4602"/>
        <w:gridCol w:w="895"/>
      </w:tblGrid>
      <w:tr w:rsidR="00824985" w:rsidRPr="00824985" w14:paraId="7F239AD7" w14:textId="77777777" w:rsidTr="00824985">
        <w:tc>
          <w:tcPr>
            <w:tcW w:w="571" w:type="dxa"/>
            <w:shd w:val="clear" w:color="auto" w:fill="BADFFA"/>
          </w:tcPr>
          <w:p w14:paraId="253FA962" w14:textId="77777777" w:rsidR="00824985" w:rsidRPr="00824985" w:rsidRDefault="00824985" w:rsidP="00824985">
            <w:pPr>
              <w:rPr>
                <w:rFonts w:eastAsia="Calibri" w:cs="Calibri"/>
                <w:b/>
                <w:sz w:val="22"/>
                <w:lang w:eastAsia="en-AU"/>
              </w:rPr>
            </w:pPr>
            <w:r w:rsidRPr="00824985">
              <w:rPr>
                <w:rFonts w:eastAsia="Calibri" w:cs="Calibri"/>
                <w:b/>
                <w:sz w:val="22"/>
                <w:lang w:eastAsia="en-AU"/>
              </w:rPr>
              <w:t>No.</w:t>
            </w:r>
          </w:p>
        </w:tc>
        <w:tc>
          <w:tcPr>
            <w:tcW w:w="1607" w:type="dxa"/>
            <w:shd w:val="clear" w:color="auto" w:fill="BADFFA"/>
          </w:tcPr>
          <w:p w14:paraId="1651CBE7" w14:textId="77777777" w:rsidR="00824985" w:rsidRPr="00824985" w:rsidRDefault="00824985" w:rsidP="00824985">
            <w:pPr>
              <w:rPr>
                <w:rFonts w:eastAsia="Calibri" w:cs="Calibri"/>
                <w:sz w:val="22"/>
                <w:lang w:eastAsia="en-AU"/>
              </w:rPr>
            </w:pPr>
            <w:r w:rsidRPr="00824985">
              <w:rPr>
                <w:rFonts w:eastAsia="Calibri" w:cs="Calibri"/>
                <w:sz w:val="22"/>
                <w:lang w:eastAsia="en-AU"/>
              </w:rPr>
              <w:t>Step</w:t>
            </w:r>
          </w:p>
        </w:tc>
        <w:tc>
          <w:tcPr>
            <w:tcW w:w="2779" w:type="dxa"/>
            <w:shd w:val="clear" w:color="auto" w:fill="BADFFA"/>
          </w:tcPr>
          <w:p w14:paraId="5B081257" w14:textId="77777777" w:rsidR="00824985" w:rsidRPr="00824985" w:rsidRDefault="00824985" w:rsidP="00824985">
            <w:pPr>
              <w:rPr>
                <w:rFonts w:eastAsia="Calibri" w:cs="Calibri"/>
                <w:sz w:val="22"/>
                <w:lang w:eastAsia="en-AU"/>
              </w:rPr>
            </w:pPr>
            <w:r w:rsidRPr="00824985">
              <w:rPr>
                <w:rFonts w:eastAsia="Calibri" w:cs="Calibri"/>
                <w:sz w:val="22"/>
                <w:lang w:eastAsia="en-AU"/>
              </w:rPr>
              <w:t>Indicator topic</w:t>
            </w:r>
          </w:p>
        </w:tc>
        <w:tc>
          <w:tcPr>
            <w:tcW w:w="4681" w:type="dxa"/>
            <w:shd w:val="clear" w:color="auto" w:fill="BADFFA"/>
          </w:tcPr>
          <w:p w14:paraId="5FB48100" w14:textId="77777777" w:rsidR="00824985" w:rsidRPr="00824985" w:rsidRDefault="00824985" w:rsidP="00824985">
            <w:pPr>
              <w:rPr>
                <w:rFonts w:eastAsia="Calibri" w:cs="Calibri"/>
                <w:sz w:val="22"/>
                <w:lang w:eastAsia="en-AU"/>
              </w:rPr>
            </w:pPr>
            <w:r w:rsidRPr="00824985">
              <w:rPr>
                <w:rFonts w:eastAsia="Calibri" w:cs="Calibri"/>
                <w:sz w:val="22"/>
                <w:lang w:eastAsia="en-AU"/>
              </w:rPr>
              <w:t>Indicator description</w:t>
            </w:r>
          </w:p>
        </w:tc>
        <w:tc>
          <w:tcPr>
            <w:tcW w:w="898" w:type="dxa"/>
            <w:shd w:val="clear" w:color="auto" w:fill="BADFFA"/>
          </w:tcPr>
          <w:p w14:paraId="2AC5BE55" w14:textId="77777777" w:rsidR="00824985" w:rsidRPr="00824985" w:rsidRDefault="00824985" w:rsidP="00824985">
            <w:pPr>
              <w:rPr>
                <w:rFonts w:eastAsia="Calibri" w:cs="Calibri"/>
                <w:sz w:val="22"/>
                <w:lang w:eastAsia="en-AU"/>
              </w:rPr>
            </w:pPr>
            <w:r w:rsidRPr="00824985">
              <w:rPr>
                <w:rFonts w:eastAsia="Calibri" w:cs="Calibri"/>
                <w:sz w:val="22"/>
                <w:lang w:eastAsia="en-AU"/>
              </w:rPr>
              <w:t>Value</w:t>
            </w:r>
          </w:p>
        </w:tc>
      </w:tr>
      <w:tr w:rsidR="00824985" w:rsidRPr="00824985" w14:paraId="12D4E9BA" w14:textId="77777777" w:rsidTr="004E3A77">
        <w:trPr>
          <w:trHeight w:val="399"/>
        </w:trPr>
        <w:tc>
          <w:tcPr>
            <w:tcW w:w="571" w:type="dxa"/>
          </w:tcPr>
          <w:p w14:paraId="13F833C0" w14:textId="77777777" w:rsidR="00824985" w:rsidRPr="00824985" w:rsidRDefault="00824985" w:rsidP="00824985">
            <w:pPr>
              <w:rPr>
                <w:rFonts w:eastAsia="Calibri" w:cs="Calibri"/>
                <w:sz w:val="22"/>
                <w:lang w:eastAsia="en-AU"/>
              </w:rPr>
            </w:pPr>
            <w:r w:rsidRPr="00824985">
              <w:rPr>
                <w:rFonts w:eastAsia="Calibri" w:cs="Calibri"/>
                <w:sz w:val="22"/>
                <w:lang w:eastAsia="en-AU"/>
              </w:rPr>
              <w:t>1</w:t>
            </w:r>
          </w:p>
        </w:tc>
        <w:tc>
          <w:tcPr>
            <w:tcW w:w="1607" w:type="dxa"/>
          </w:tcPr>
          <w:p w14:paraId="33E61A27" w14:textId="77777777" w:rsidR="00824985" w:rsidRPr="00824985" w:rsidRDefault="00824985" w:rsidP="00824985">
            <w:pPr>
              <w:rPr>
                <w:rFonts w:eastAsia="Calibri" w:cs="Calibri"/>
                <w:sz w:val="22"/>
                <w:lang w:eastAsia="en-AU"/>
              </w:rPr>
            </w:pPr>
            <w:r w:rsidRPr="00824985">
              <w:rPr>
                <w:rFonts w:eastAsia="Calibri" w:cs="Calibri"/>
                <w:sz w:val="22"/>
                <w:lang w:eastAsia="en-AU"/>
              </w:rPr>
              <w:t>Recruitment</w:t>
            </w:r>
          </w:p>
        </w:tc>
        <w:tc>
          <w:tcPr>
            <w:tcW w:w="2779" w:type="dxa"/>
          </w:tcPr>
          <w:p w14:paraId="1D8615FF" w14:textId="77777777" w:rsidR="00824985" w:rsidRPr="00824985" w:rsidRDefault="00824985" w:rsidP="00824985">
            <w:pPr>
              <w:rPr>
                <w:rFonts w:eastAsia="Calibri" w:cs="Calibri"/>
                <w:sz w:val="22"/>
                <w:lang w:eastAsia="en-AU"/>
              </w:rPr>
            </w:pPr>
            <w:r w:rsidRPr="00824985">
              <w:rPr>
                <w:rFonts w:eastAsia="Calibri" w:cs="Calibri"/>
                <w:sz w:val="22"/>
                <w:lang w:eastAsia="en-AU"/>
              </w:rPr>
              <w:t>Participation rate</w:t>
            </w:r>
          </w:p>
        </w:tc>
        <w:tc>
          <w:tcPr>
            <w:tcW w:w="4681" w:type="dxa"/>
          </w:tcPr>
          <w:p w14:paraId="3C06AA95" w14:textId="77777777" w:rsidR="00824985" w:rsidRPr="00824985" w:rsidRDefault="00824985" w:rsidP="00824985">
            <w:pPr>
              <w:rPr>
                <w:rFonts w:eastAsia="Calibri" w:cs="Calibri"/>
                <w:sz w:val="22"/>
                <w:lang w:eastAsia="en-AU"/>
              </w:rPr>
            </w:pPr>
            <w:r w:rsidRPr="00824985">
              <w:rPr>
                <w:rFonts w:eastAsia="Calibri" w:cs="Calibri"/>
                <w:sz w:val="22"/>
                <w:lang w:eastAsia="en-AU"/>
              </w:rPr>
              <w:t>% and number of liveborn newborns providing a bloodspot card</w:t>
            </w:r>
          </w:p>
        </w:tc>
        <w:tc>
          <w:tcPr>
            <w:tcW w:w="898" w:type="dxa"/>
          </w:tcPr>
          <w:p w14:paraId="66CAF2E3" w14:textId="77777777" w:rsidR="00824985" w:rsidRPr="00824985" w:rsidRDefault="00824985" w:rsidP="00824985">
            <w:pPr>
              <w:rPr>
                <w:rFonts w:eastAsia="Calibri" w:cs="Calibri"/>
                <w:sz w:val="22"/>
                <w:lang w:eastAsia="en-AU"/>
              </w:rPr>
            </w:pPr>
          </w:p>
        </w:tc>
      </w:tr>
      <w:tr w:rsidR="00824985" w:rsidRPr="00824985" w14:paraId="0C099CA0" w14:textId="77777777" w:rsidTr="004E3A77">
        <w:tc>
          <w:tcPr>
            <w:tcW w:w="571" w:type="dxa"/>
          </w:tcPr>
          <w:p w14:paraId="0D173055" w14:textId="77777777" w:rsidR="00824985" w:rsidRPr="00824985" w:rsidRDefault="00824985" w:rsidP="00824985">
            <w:pPr>
              <w:rPr>
                <w:rFonts w:eastAsia="Calibri" w:cs="Calibri"/>
                <w:sz w:val="22"/>
                <w:lang w:eastAsia="en-AU"/>
              </w:rPr>
            </w:pPr>
            <w:r w:rsidRPr="00824985">
              <w:rPr>
                <w:rFonts w:eastAsia="Calibri" w:cs="Calibri"/>
                <w:sz w:val="22"/>
                <w:lang w:eastAsia="en-AU"/>
              </w:rPr>
              <w:t>2</w:t>
            </w:r>
          </w:p>
        </w:tc>
        <w:tc>
          <w:tcPr>
            <w:tcW w:w="1607" w:type="dxa"/>
            <w:vMerge w:val="restart"/>
          </w:tcPr>
          <w:p w14:paraId="4DA5E35A" w14:textId="77777777" w:rsidR="00824985" w:rsidRPr="00824985" w:rsidRDefault="00824985" w:rsidP="00824985">
            <w:pPr>
              <w:rPr>
                <w:rFonts w:eastAsia="Calibri" w:cs="Calibri"/>
                <w:sz w:val="22"/>
                <w:lang w:eastAsia="en-AU"/>
              </w:rPr>
            </w:pPr>
            <w:r w:rsidRPr="00824985">
              <w:rPr>
                <w:rFonts w:eastAsia="Calibri" w:cs="Calibri"/>
                <w:sz w:val="22"/>
                <w:lang w:eastAsia="en-AU"/>
              </w:rPr>
              <w:t>Screening</w:t>
            </w:r>
          </w:p>
        </w:tc>
        <w:tc>
          <w:tcPr>
            <w:tcW w:w="2779" w:type="dxa"/>
          </w:tcPr>
          <w:p w14:paraId="700FCF8E" w14:textId="77777777" w:rsidR="00824985" w:rsidRPr="00824985" w:rsidRDefault="00824985" w:rsidP="00824985">
            <w:pPr>
              <w:rPr>
                <w:rFonts w:eastAsia="Calibri" w:cs="Calibri"/>
                <w:sz w:val="22"/>
                <w:lang w:eastAsia="en-AU"/>
              </w:rPr>
            </w:pPr>
            <w:r w:rsidRPr="00824985">
              <w:rPr>
                <w:rFonts w:eastAsia="Calibri" w:cs="Calibri"/>
                <w:sz w:val="22"/>
                <w:lang w:eastAsia="en-AU"/>
              </w:rPr>
              <w:t>Timeliness of sample collection</w:t>
            </w:r>
          </w:p>
        </w:tc>
        <w:tc>
          <w:tcPr>
            <w:tcW w:w="4681" w:type="dxa"/>
          </w:tcPr>
          <w:p w14:paraId="299A6EF4" w14:textId="77777777" w:rsidR="00824985" w:rsidRPr="00824985" w:rsidRDefault="00824985" w:rsidP="00824985">
            <w:pPr>
              <w:rPr>
                <w:rFonts w:eastAsia="Calibri" w:cs="Calibri"/>
                <w:sz w:val="22"/>
                <w:lang w:eastAsia="en-AU"/>
              </w:rPr>
            </w:pPr>
            <w:r w:rsidRPr="00824985">
              <w:rPr>
                <w:rFonts w:eastAsia="Calibri" w:cs="Calibri"/>
                <w:sz w:val="22"/>
                <w:lang w:eastAsia="en-AU"/>
              </w:rPr>
              <w:t>% of newborn bloodspot cards collected within 48 to 72 hours of birth</w:t>
            </w:r>
          </w:p>
        </w:tc>
        <w:tc>
          <w:tcPr>
            <w:tcW w:w="898" w:type="dxa"/>
          </w:tcPr>
          <w:p w14:paraId="249F3D91" w14:textId="77777777" w:rsidR="00824985" w:rsidRPr="00824985" w:rsidRDefault="00824985" w:rsidP="00824985">
            <w:pPr>
              <w:rPr>
                <w:rFonts w:eastAsia="Calibri" w:cs="Calibri"/>
                <w:sz w:val="22"/>
                <w:lang w:eastAsia="en-AU"/>
              </w:rPr>
            </w:pPr>
          </w:p>
        </w:tc>
      </w:tr>
      <w:tr w:rsidR="00824985" w:rsidRPr="00824985" w14:paraId="57C04654" w14:textId="77777777" w:rsidTr="004E3A77">
        <w:tc>
          <w:tcPr>
            <w:tcW w:w="571" w:type="dxa"/>
          </w:tcPr>
          <w:p w14:paraId="67CA5B66" w14:textId="77777777" w:rsidR="00824985" w:rsidRPr="00824985" w:rsidRDefault="00824985" w:rsidP="00824985">
            <w:pPr>
              <w:rPr>
                <w:rFonts w:eastAsia="Calibri" w:cs="Calibri"/>
                <w:sz w:val="22"/>
                <w:lang w:eastAsia="en-AU"/>
              </w:rPr>
            </w:pPr>
            <w:r w:rsidRPr="00824985">
              <w:rPr>
                <w:rFonts w:eastAsia="Calibri" w:cs="Calibri"/>
                <w:sz w:val="22"/>
                <w:lang w:eastAsia="en-AU"/>
              </w:rPr>
              <w:t>3</w:t>
            </w:r>
          </w:p>
        </w:tc>
        <w:tc>
          <w:tcPr>
            <w:tcW w:w="1607" w:type="dxa"/>
            <w:vMerge/>
          </w:tcPr>
          <w:p w14:paraId="59213783" w14:textId="77777777" w:rsidR="00824985" w:rsidRPr="00824985" w:rsidRDefault="00824985" w:rsidP="00824985">
            <w:pPr>
              <w:rPr>
                <w:rFonts w:eastAsia="Calibri" w:cs="Calibri"/>
                <w:sz w:val="22"/>
                <w:lang w:eastAsia="en-AU"/>
              </w:rPr>
            </w:pPr>
          </w:p>
        </w:tc>
        <w:tc>
          <w:tcPr>
            <w:tcW w:w="2779" w:type="dxa"/>
          </w:tcPr>
          <w:p w14:paraId="6A5B8629" w14:textId="77777777" w:rsidR="00824985" w:rsidRPr="00824985" w:rsidRDefault="00824985" w:rsidP="00824985">
            <w:pPr>
              <w:rPr>
                <w:rFonts w:eastAsia="Calibri" w:cs="Calibri"/>
                <w:sz w:val="22"/>
                <w:lang w:eastAsia="en-AU"/>
              </w:rPr>
            </w:pPr>
            <w:r w:rsidRPr="00824985">
              <w:rPr>
                <w:rFonts w:eastAsia="Calibri" w:cs="Calibri"/>
                <w:sz w:val="22"/>
                <w:lang w:eastAsia="en-AU"/>
              </w:rPr>
              <w:t>Timeliness of sample transport</w:t>
            </w:r>
          </w:p>
        </w:tc>
        <w:tc>
          <w:tcPr>
            <w:tcW w:w="4681" w:type="dxa"/>
          </w:tcPr>
          <w:p w14:paraId="5436D079" w14:textId="77777777" w:rsidR="00824985" w:rsidRPr="00824985" w:rsidRDefault="00824985" w:rsidP="00824985">
            <w:pPr>
              <w:rPr>
                <w:rFonts w:eastAsia="Calibri" w:cs="Calibri"/>
                <w:sz w:val="22"/>
                <w:lang w:eastAsia="en-AU"/>
              </w:rPr>
            </w:pPr>
            <w:r w:rsidRPr="00824985">
              <w:rPr>
                <w:rFonts w:eastAsia="Calibri" w:cs="Calibri"/>
                <w:sz w:val="22"/>
                <w:lang w:eastAsia="en-AU"/>
              </w:rPr>
              <w:t>% of newborn bloodspot cards received in the laboratory within 96 hours of collection</w:t>
            </w:r>
          </w:p>
        </w:tc>
        <w:tc>
          <w:tcPr>
            <w:tcW w:w="898" w:type="dxa"/>
          </w:tcPr>
          <w:p w14:paraId="55E89C47" w14:textId="77777777" w:rsidR="00824985" w:rsidRPr="00824985" w:rsidRDefault="00824985" w:rsidP="00824985">
            <w:pPr>
              <w:rPr>
                <w:rFonts w:eastAsia="Calibri" w:cs="Calibri"/>
                <w:sz w:val="22"/>
                <w:lang w:eastAsia="en-AU"/>
              </w:rPr>
            </w:pPr>
          </w:p>
        </w:tc>
      </w:tr>
      <w:tr w:rsidR="00824985" w:rsidRPr="00824985" w14:paraId="3CA03439" w14:textId="77777777" w:rsidTr="004E3A77">
        <w:tc>
          <w:tcPr>
            <w:tcW w:w="571" w:type="dxa"/>
          </w:tcPr>
          <w:p w14:paraId="0656EBFF" w14:textId="77777777" w:rsidR="00824985" w:rsidRPr="00824985" w:rsidRDefault="00824985" w:rsidP="00824985">
            <w:pPr>
              <w:rPr>
                <w:rFonts w:eastAsia="Calibri" w:cs="Calibri"/>
                <w:sz w:val="22"/>
                <w:lang w:eastAsia="en-AU"/>
              </w:rPr>
            </w:pPr>
            <w:r w:rsidRPr="00824985">
              <w:rPr>
                <w:rFonts w:eastAsia="Calibri" w:cs="Calibri"/>
                <w:sz w:val="22"/>
                <w:lang w:eastAsia="en-AU"/>
              </w:rPr>
              <w:t>4</w:t>
            </w:r>
          </w:p>
        </w:tc>
        <w:tc>
          <w:tcPr>
            <w:tcW w:w="1607" w:type="dxa"/>
            <w:vMerge/>
          </w:tcPr>
          <w:p w14:paraId="4FA84331" w14:textId="77777777" w:rsidR="00824985" w:rsidRPr="00824985" w:rsidRDefault="00824985" w:rsidP="00824985">
            <w:pPr>
              <w:rPr>
                <w:rFonts w:eastAsia="Calibri" w:cs="Calibri"/>
                <w:sz w:val="22"/>
                <w:lang w:eastAsia="en-AU"/>
              </w:rPr>
            </w:pPr>
          </w:p>
        </w:tc>
        <w:tc>
          <w:tcPr>
            <w:tcW w:w="2779" w:type="dxa"/>
          </w:tcPr>
          <w:p w14:paraId="0526996D" w14:textId="77777777" w:rsidR="00824985" w:rsidRPr="00824985" w:rsidRDefault="00824985" w:rsidP="00824985">
            <w:pPr>
              <w:rPr>
                <w:rFonts w:eastAsia="Calibri" w:cs="Calibri"/>
                <w:sz w:val="22"/>
                <w:lang w:eastAsia="en-AU"/>
              </w:rPr>
            </w:pPr>
            <w:r w:rsidRPr="00824985">
              <w:rPr>
                <w:rFonts w:eastAsia="Calibri" w:cs="Calibri"/>
                <w:sz w:val="22"/>
                <w:lang w:eastAsia="en-AU"/>
              </w:rPr>
              <w:t>Unsuitable samples</w:t>
            </w:r>
          </w:p>
        </w:tc>
        <w:tc>
          <w:tcPr>
            <w:tcW w:w="4681" w:type="dxa"/>
          </w:tcPr>
          <w:p w14:paraId="34D8B048" w14:textId="77777777" w:rsidR="00824985" w:rsidRPr="00824985" w:rsidRDefault="00824985" w:rsidP="00824985">
            <w:pPr>
              <w:rPr>
                <w:rFonts w:eastAsia="Calibri" w:cs="Calibri"/>
                <w:sz w:val="22"/>
                <w:lang w:eastAsia="en-AU"/>
              </w:rPr>
            </w:pPr>
            <w:r w:rsidRPr="00824985">
              <w:rPr>
                <w:rFonts w:eastAsia="Calibri" w:cs="Calibri"/>
                <w:sz w:val="22"/>
                <w:lang w:eastAsia="en-AU"/>
              </w:rPr>
              <w:t>% of newborn bloodspot cards unsuitable for testing</w:t>
            </w:r>
          </w:p>
        </w:tc>
        <w:tc>
          <w:tcPr>
            <w:tcW w:w="898" w:type="dxa"/>
          </w:tcPr>
          <w:p w14:paraId="77EF9125" w14:textId="77777777" w:rsidR="00824985" w:rsidRPr="00824985" w:rsidRDefault="00824985" w:rsidP="00824985">
            <w:pPr>
              <w:rPr>
                <w:rFonts w:eastAsia="Calibri" w:cs="Calibri"/>
                <w:sz w:val="22"/>
                <w:lang w:eastAsia="en-AU"/>
              </w:rPr>
            </w:pPr>
          </w:p>
        </w:tc>
      </w:tr>
      <w:tr w:rsidR="00824985" w:rsidRPr="00824985" w14:paraId="516F5752" w14:textId="77777777" w:rsidTr="004E3A77">
        <w:tc>
          <w:tcPr>
            <w:tcW w:w="571" w:type="dxa"/>
          </w:tcPr>
          <w:p w14:paraId="69004B3E" w14:textId="77777777" w:rsidR="00824985" w:rsidRPr="00824985" w:rsidRDefault="00824985" w:rsidP="00824985">
            <w:pPr>
              <w:rPr>
                <w:rFonts w:eastAsia="Calibri" w:cs="Calibri"/>
                <w:sz w:val="22"/>
                <w:lang w:eastAsia="en-AU"/>
              </w:rPr>
            </w:pPr>
            <w:r w:rsidRPr="00824985">
              <w:rPr>
                <w:rFonts w:eastAsia="Calibri" w:cs="Calibri"/>
                <w:sz w:val="22"/>
                <w:lang w:eastAsia="en-AU"/>
              </w:rPr>
              <w:t>5</w:t>
            </w:r>
          </w:p>
        </w:tc>
        <w:tc>
          <w:tcPr>
            <w:tcW w:w="1607" w:type="dxa"/>
            <w:vMerge/>
          </w:tcPr>
          <w:p w14:paraId="4B536FE0" w14:textId="77777777" w:rsidR="00824985" w:rsidRPr="00824985" w:rsidRDefault="00824985" w:rsidP="00824985">
            <w:pPr>
              <w:rPr>
                <w:rFonts w:eastAsia="Calibri" w:cs="Calibri"/>
                <w:sz w:val="22"/>
                <w:lang w:eastAsia="en-AU"/>
              </w:rPr>
            </w:pPr>
          </w:p>
        </w:tc>
        <w:tc>
          <w:tcPr>
            <w:tcW w:w="2779" w:type="dxa"/>
          </w:tcPr>
          <w:p w14:paraId="5AF7C2DC" w14:textId="77777777" w:rsidR="00824985" w:rsidRPr="00824985" w:rsidRDefault="00824985" w:rsidP="00824985">
            <w:pPr>
              <w:rPr>
                <w:rFonts w:eastAsia="Calibri" w:cs="Calibri"/>
                <w:sz w:val="22"/>
                <w:lang w:eastAsia="en-AU"/>
              </w:rPr>
            </w:pPr>
            <w:r w:rsidRPr="00824985">
              <w:rPr>
                <w:rFonts w:eastAsia="Calibri" w:cs="Calibri"/>
                <w:sz w:val="22"/>
                <w:lang w:eastAsia="en-AU"/>
              </w:rPr>
              <w:t>Timeliness of notification of abnormal results</w:t>
            </w:r>
          </w:p>
        </w:tc>
        <w:tc>
          <w:tcPr>
            <w:tcW w:w="4681" w:type="dxa"/>
          </w:tcPr>
          <w:p w14:paraId="6DFB4DA2" w14:textId="77777777" w:rsidR="00824985" w:rsidRPr="00824985" w:rsidRDefault="00824985" w:rsidP="00824985">
            <w:pPr>
              <w:rPr>
                <w:rFonts w:eastAsia="Calibri" w:cs="Calibri"/>
                <w:sz w:val="22"/>
                <w:lang w:eastAsia="en-AU"/>
              </w:rPr>
            </w:pPr>
            <w:r w:rsidRPr="00824985">
              <w:rPr>
                <w:rFonts w:eastAsia="Calibri" w:cs="Calibri"/>
                <w:sz w:val="22"/>
                <w:lang w:eastAsia="en-AU"/>
              </w:rPr>
              <w:t>% of abnormal results notified within 72 hours of card receipt</w:t>
            </w:r>
          </w:p>
        </w:tc>
        <w:tc>
          <w:tcPr>
            <w:tcW w:w="898" w:type="dxa"/>
          </w:tcPr>
          <w:p w14:paraId="5CDE2647" w14:textId="77777777" w:rsidR="00824985" w:rsidRPr="00824985" w:rsidRDefault="00824985" w:rsidP="00824985">
            <w:pPr>
              <w:rPr>
                <w:rFonts w:eastAsia="Calibri" w:cs="Calibri"/>
                <w:sz w:val="22"/>
                <w:lang w:eastAsia="en-AU"/>
              </w:rPr>
            </w:pPr>
          </w:p>
        </w:tc>
      </w:tr>
      <w:tr w:rsidR="00824985" w:rsidRPr="00824985" w14:paraId="70F42329" w14:textId="77777777" w:rsidTr="004E3A77">
        <w:tc>
          <w:tcPr>
            <w:tcW w:w="571" w:type="dxa"/>
          </w:tcPr>
          <w:p w14:paraId="3775C359" w14:textId="77777777" w:rsidR="00824985" w:rsidRPr="00824985" w:rsidRDefault="00824985" w:rsidP="00824985">
            <w:pPr>
              <w:rPr>
                <w:rFonts w:eastAsia="Calibri" w:cs="Calibri"/>
                <w:sz w:val="22"/>
                <w:lang w:eastAsia="en-AU"/>
              </w:rPr>
            </w:pPr>
            <w:r w:rsidRPr="00824985">
              <w:rPr>
                <w:rFonts w:eastAsia="Calibri" w:cs="Calibri"/>
                <w:sz w:val="22"/>
                <w:lang w:eastAsia="en-AU"/>
              </w:rPr>
              <w:t>6</w:t>
            </w:r>
          </w:p>
        </w:tc>
        <w:tc>
          <w:tcPr>
            <w:tcW w:w="1607" w:type="dxa"/>
          </w:tcPr>
          <w:p w14:paraId="3BD41003" w14:textId="77777777" w:rsidR="00824985" w:rsidRPr="00824985" w:rsidRDefault="00824985" w:rsidP="00824985">
            <w:pPr>
              <w:rPr>
                <w:rFonts w:eastAsia="Calibri" w:cs="Calibri"/>
                <w:sz w:val="22"/>
                <w:lang w:eastAsia="en-AU"/>
              </w:rPr>
            </w:pPr>
            <w:r w:rsidRPr="00824985">
              <w:rPr>
                <w:rFonts w:eastAsia="Calibri" w:cs="Calibri"/>
                <w:sz w:val="22"/>
                <w:lang w:eastAsia="en-AU"/>
              </w:rPr>
              <w:t>Diagnosis</w:t>
            </w:r>
          </w:p>
        </w:tc>
        <w:tc>
          <w:tcPr>
            <w:tcW w:w="2779" w:type="dxa"/>
          </w:tcPr>
          <w:p w14:paraId="51772565" w14:textId="77777777" w:rsidR="00824985" w:rsidRPr="00824985" w:rsidRDefault="00824985" w:rsidP="00824985">
            <w:pPr>
              <w:spacing w:after="0"/>
              <w:rPr>
                <w:rFonts w:eastAsia="Calibri" w:cs="Calibri"/>
                <w:sz w:val="22"/>
                <w:lang w:eastAsia="en-AU"/>
              </w:rPr>
            </w:pPr>
            <w:r w:rsidRPr="00824985">
              <w:rPr>
                <w:rFonts w:eastAsia="Calibri" w:cs="Calibri"/>
                <w:sz w:val="22"/>
                <w:lang w:eastAsia="en-AU"/>
              </w:rPr>
              <w:t xml:space="preserve">Total cases detected </w:t>
            </w:r>
          </w:p>
        </w:tc>
        <w:tc>
          <w:tcPr>
            <w:tcW w:w="4681" w:type="dxa"/>
          </w:tcPr>
          <w:p w14:paraId="62E27984" w14:textId="77777777" w:rsidR="00824985" w:rsidRPr="00824985" w:rsidRDefault="00824985" w:rsidP="00824985">
            <w:pPr>
              <w:rPr>
                <w:rFonts w:eastAsia="Calibri" w:cs="Calibri"/>
                <w:sz w:val="22"/>
                <w:lang w:eastAsia="en-AU"/>
              </w:rPr>
            </w:pPr>
            <w:r w:rsidRPr="00824985">
              <w:rPr>
                <w:rFonts w:eastAsia="Calibri" w:cs="Calibri"/>
                <w:sz w:val="22"/>
                <w:lang w:eastAsia="en-AU"/>
              </w:rPr>
              <w:t>Total number and birth prevalence of newborns identified with a condition on the agreed common panel of disorders</w:t>
            </w:r>
          </w:p>
        </w:tc>
        <w:tc>
          <w:tcPr>
            <w:tcW w:w="898" w:type="dxa"/>
          </w:tcPr>
          <w:p w14:paraId="255CB763" w14:textId="77777777" w:rsidR="00824985" w:rsidRPr="00824985" w:rsidRDefault="00824985" w:rsidP="00824985">
            <w:pPr>
              <w:rPr>
                <w:rFonts w:eastAsia="Calibri" w:cs="Calibri"/>
                <w:sz w:val="22"/>
                <w:lang w:eastAsia="en-AU"/>
              </w:rPr>
            </w:pPr>
          </w:p>
        </w:tc>
      </w:tr>
      <w:tr w:rsidR="00824985" w:rsidRPr="00824985" w14:paraId="7136E67A" w14:textId="77777777" w:rsidTr="004E3A77">
        <w:tc>
          <w:tcPr>
            <w:tcW w:w="571" w:type="dxa"/>
            <w:tcBorders>
              <w:bottom w:val="single" w:sz="4" w:space="0" w:color="auto"/>
            </w:tcBorders>
          </w:tcPr>
          <w:p w14:paraId="60F5BFB3" w14:textId="77777777" w:rsidR="00824985" w:rsidRPr="00824985" w:rsidRDefault="00824985" w:rsidP="00824985">
            <w:pPr>
              <w:rPr>
                <w:rFonts w:eastAsia="Calibri" w:cs="Calibri"/>
                <w:sz w:val="22"/>
                <w:lang w:eastAsia="en-AU"/>
              </w:rPr>
            </w:pPr>
            <w:r w:rsidRPr="00824985">
              <w:rPr>
                <w:rFonts w:eastAsia="Calibri" w:cs="Calibri"/>
                <w:sz w:val="22"/>
                <w:lang w:eastAsia="en-AU"/>
              </w:rPr>
              <w:t>7</w:t>
            </w:r>
          </w:p>
        </w:tc>
        <w:tc>
          <w:tcPr>
            <w:tcW w:w="1607" w:type="dxa"/>
            <w:tcBorders>
              <w:bottom w:val="single" w:sz="4" w:space="0" w:color="auto"/>
            </w:tcBorders>
          </w:tcPr>
          <w:p w14:paraId="4EC80DC5" w14:textId="77777777" w:rsidR="00824985" w:rsidRPr="00824985" w:rsidRDefault="00824985" w:rsidP="00824985">
            <w:pPr>
              <w:rPr>
                <w:rFonts w:eastAsia="Calibri" w:cs="Calibri"/>
                <w:sz w:val="22"/>
                <w:lang w:eastAsia="en-AU"/>
              </w:rPr>
            </w:pPr>
            <w:r w:rsidRPr="00824985">
              <w:rPr>
                <w:rFonts w:eastAsia="Calibri" w:cs="Calibri"/>
                <w:sz w:val="22"/>
                <w:lang w:eastAsia="en-AU"/>
              </w:rPr>
              <w:t>Implementation update</w:t>
            </w:r>
          </w:p>
        </w:tc>
        <w:tc>
          <w:tcPr>
            <w:tcW w:w="2779" w:type="dxa"/>
            <w:tcBorders>
              <w:bottom w:val="single" w:sz="4" w:space="0" w:color="auto"/>
            </w:tcBorders>
          </w:tcPr>
          <w:p w14:paraId="6BC50CF0" w14:textId="77777777" w:rsidR="00824985" w:rsidRPr="00824985" w:rsidRDefault="00824985" w:rsidP="00824985">
            <w:pPr>
              <w:spacing w:after="0"/>
              <w:rPr>
                <w:rFonts w:eastAsia="Calibri" w:cs="Calibri"/>
                <w:sz w:val="22"/>
                <w:lang w:eastAsia="en-AU"/>
              </w:rPr>
            </w:pPr>
            <w:r w:rsidRPr="00824985">
              <w:rPr>
                <w:rFonts w:eastAsia="Calibri" w:cs="Calibri"/>
                <w:sz w:val="22"/>
                <w:lang w:eastAsia="en-AU"/>
              </w:rPr>
              <w:t>New conditions</w:t>
            </w:r>
          </w:p>
        </w:tc>
        <w:tc>
          <w:tcPr>
            <w:tcW w:w="4681" w:type="dxa"/>
            <w:tcBorders>
              <w:bottom w:val="single" w:sz="4" w:space="0" w:color="auto"/>
            </w:tcBorders>
          </w:tcPr>
          <w:p w14:paraId="018E533E" w14:textId="77777777" w:rsidR="00824985" w:rsidRPr="00824985" w:rsidRDefault="00824985" w:rsidP="00824985">
            <w:pPr>
              <w:rPr>
                <w:rFonts w:eastAsia="Calibri" w:cs="Calibri"/>
                <w:sz w:val="22"/>
                <w:lang w:eastAsia="en-AU"/>
              </w:rPr>
            </w:pPr>
            <w:r w:rsidRPr="00824985">
              <w:rPr>
                <w:rFonts w:eastAsia="Calibri" w:cs="Calibri"/>
                <w:sz w:val="22"/>
                <w:lang w:eastAsia="en-AU"/>
              </w:rPr>
              <w:t>Describe the steps taken in the past year to add any new conditions to the WA Newborn Bloodspot Screening Program</w:t>
            </w:r>
          </w:p>
        </w:tc>
        <w:tc>
          <w:tcPr>
            <w:tcW w:w="898" w:type="dxa"/>
            <w:tcBorders>
              <w:bottom w:val="single" w:sz="4" w:space="0" w:color="auto"/>
            </w:tcBorders>
          </w:tcPr>
          <w:p w14:paraId="4C1C3555" w14:textId="77777777" w:rsidR="00824985" w:rsidRPr="00824985" w:rsidRDefault="00824985" w:rsidP="00824985">
            <w:pPr>
              <w:rPr>
                <w:rFonts w:eastAsia="Calibri" w:cs="Calibri"/>
                <w:sz w:val="22"/>
                <w:lang w:eastAsia="en-AU"/>
              </w:rPr>
            </w:pPr>
          </w:p>
        </w:tc>
      </w:tr>
    </w:tbl>
    <w:p w14:paraId="1F169503" w14:textId="77777777" w:rsidR="00824985" w:rsidRPr="00824985" w:rsidRDefault="00824985" w:rsidP="00824985">
      <w:pPr>
        <w:rPr>
          <w:rFonts w:eastAsia="Calibri" w:cs="Times New Roman"/>
        </w:rPr>
      </w:pPr>
      <w:bookmarkStart w:id="0" w:name="_GoBack"/>
      <w:bookmarkEnd w:id="0"/>
    </w:p>
    <w:p w14:paraId="1F560D05" w14:textId="77777777" w:rsidR="00824985" w:rsidRPr="00824985" w:rsidRDefault="00824985" w:rsidP="00824985">
      <w:pPr>
        <w:rPr>
          <w:rFonts w:eastAsia="Calibri" w:cs="Arial"/>
          <w:color w:val="004B8D"/>
          <w:u w:val="single"/>
        </w:rPr>
      </w:pPr>
      <w:r w:rsidRPr="00824985">
        <w:rPr>
          <w:rFonts w:eastAsia="Calibri" w:cs="Times New Roman"/>
        </w:rPr>
        <w:t>Formal complaints regarding the Newborn Bloodspot Screening Program are to be submitted annually</w:t>
      </w:r>
      <w:r w:rsidRPr="00824985">
        <w:rPr>
          <w:rFonts w:eastAsia="Times New Roman" w:cs="Arial"/>
          <w:bCs/>
          <w:szCs w:val="24"/>
        </w:rPr>
        <w:t xml:space="preserve"> to the </w:t>
      </w:r>
      <w:r w:rsidRPr="00824985">
        <w:rPr>
          <w:rFonts w:eastAsia="Calibri" w:cs="Arial"/>
        </w:rPr>
        <w:t xml:space="preserve">Department of Health via the Office of Population Health Genomics </w:t>
      </w:r>
      <w:hyperlink r:id="rId13" w:history="1">
        <w:r w:rsidRPr="00824985">
          <w:rPr>
            <w:rFonts w:eastAsia="Calibri" w:cs="Arial"/>
            <w:color w:val="004B8D"/>
            <w:u w:val="single"/>
          </w:rPr>
          <w:t>genomics@health.wa.gov.au</w:t>
        </w:r>
      </w:hyperlink>
    </w:p>
    <w:p w14:paraId="433E3369" w14:textId="77777777" w:rsidR="00824985" w:rsidRPr="00824985" w:rsidRDefault="00824985" w:rsidP="00824985">
      <w:pPr>
        <w:rPr>
          <w:rFonts w:eastAsia="Calibri" w:cs="Times New Roman"/>
        </w:rPr>
      </w:pPr>
      <w:r w:rsidRPr="00824985">
        <w:rPr>
          <w:rFonts w:eastAsia="Calibri" w:cs="Times New Roman"/>
        </w:rPr>
        <w:t>These are to be recorded in the minutes at the WA Newborn Bloodspot Screening Committee Annual General Meeting.</w:t>
      </w:r>
    </w:p>
    <w:sectPr w:rsidR="00824985" w:rsidRPr="00824985" w:rsidSect="00104977">
      <w:footerReference w:type="default" r:id="rId14"/>
      <w:headerReference w:type="first" r:id="rId15"/>
      <w:footerReference w:type="first" r:id="rId16"/>
      <w:pgSz w:w="11906" w:h="16838" w:code="9"/>
      <w:pgMar w:top="709" w:right="680" w:bottom="1843" w:left="680" w:header="392" w:footer="4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91F7C" w14:textId="77777777" w:rsidR="0013662A" w:rsidRDefault="0013662A" w:rsidP="0013662A">
      <w:pPr>
        <w:spacing w:after="0"/>
      </w:pPr>
      <w:r>
        <w:separator/>
      </w:r>
    </w:p>
  </w:endnote>
  <w:endnote w:type="continuationSeparator" w:id="0">
    <w:p w14:paraId="15391F7D" w14:textId="77777777" w:rsidR="0013662A" w:rsidRDefault="0013662A" w:rsidP="001366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Std">
    <w:panose1 w:val="00000000000000000000"/>
    <w:charset w:val="00"/>
    <w:family w:val="swiss"/>
    <w:notTrueType/>
    <w:pitch w:val="variable"/>
    <w:sig w:usb0="800000AF" w:usb1="4000204A" w:usb2="00000000" w:usb3="00000000" w:csb0="00000001" w:csb1="00000000"/>
  </w:font>
  <w:font w:name="ArialMTStd">
    <w:altName w:val="Arial MT Std"/>
    <w:panose1 w:val="00000000000000000000"/>
    <w:charset w:val="4D"/>
    <w:family w:val="auto"/>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1F7E" w14:textId="77777777" w:rsidR="009B0844" w:rsidRPr="00AF7C07" w:rsidRDefault="009B0844" w:rsidP="009B0844">
    <w:pPr>
      <w:spacing w:after="240"/>
      <w:rPr>
        <w:b/>
      </w:rPr>
    </w:pPr>
    <w:r w:rsidRPr="00AF7C07">
      <w:rPr>
        <w:b/>
      </w:rPr>
      <w:t xml:space="preserve">This document can be made available in alternative formats </w:t>
    </w:r>
    <w:r w:rsidR="0048357D">
      <w:rPr>
        <w:b/>
      </w:rPr>
      <w:br/>
      <w:t xml:space="preserve">on request for a person with </w:t>
    </w:r>
    <w:r w:rsidRPr="00AF7C07">
      <w:rPr>
        <w:b/>
      </w:rPr>
      <w:t>disability.</w:t>
    </w:r>
  </w:p>
  <w:p w14:paraId="15391F7F" w14:textId="77777777" w:rsidR="009B0844" w:rsidRDefault="009B0844" w:rsidP="009B0844">
    <w:pPr>
      <w:spacing w:after="300"/>
      <w:ind w:right="-1"/>
    </w:pPr>
    <w:r>
      <w:t>© Department of Health 201</w:t>
    </w:r>
    <w:r w:rsidR="0096089A">
      <w:t>8</w:t>
    </w:r>
  </w:p>
  <w:p w14:paraId="15391F80" w14:textId="77777777" w:rsidR="009B0844" w:rsidRDefault="009B0844" w:rsidP="00483052">
    <w:pPr>
      <w:pStyle w:val="TEXT"/>
      <w:spacing w:after="240" w:line="240" w:lineRule="auto"/>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p w14:paraId="15391F81" w14:textId="77777777" w:rsidR="00521D1A" w:rsidRPr="00483052" w:rsidRDefault="000244A9" w:rsidP="00483052">
    <w:pPr>
      <w:pStyle w:val="TEXT"/>
      <w:spacing w:line="240" w:lineRule="auto"/>
      <w:rPr>
        <w:rFonts w:ascii="Arial" w:hAnsi="Arial"/>
        <w:color w:val="005B38" w:themeColor="accent1"/>
        <w:sz w:val="28"/>
        <w:szCs w:val="28"/>
      </w:rPr>
    </w:pPr>
    <w:r w:rsidRPr="00483052">
      <w:rPr>
        <w:rFonts w:ascii="Arial" w:hAnsi="Arial"/>
        <w:color w:val="005B38" w:themeColor="accent1"/>
        <w:sz w:val="28"/>
        <w:szCs w:val="28"/>
      </w:rPr>
      <w:t>health.wa.gov.au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1F83" w14:textId="77777777" w:rsidR="0013662A" w:rsidRPr="00232283" w:rsidRDefault="0013662A" w:rsidP="00232283">
    <w:pPr>
      <w:spacing w:after="240"/>
      <w:rPr>
        <w:b/>
        <w:color w:val="005B38" w:themeColor="accent2"/>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391F7A" w14:textId="77777777" w:rsidR="0013662A" w:rsidRDefault="0013662A" w:rsidP="0013662A">
      <w:pPr>
        <w:spacing w:after="0"/>
      </w:pPr>
      <w:r>
        <w:separator/>
      </w:r>
    </w:p>
  </w:footnote>
  <w:footnote w:type="continuationSeparator" w:id="0">
    <w:p w14:paraId="15391F7B" w14:textId="77777777" w:rsidR="0013662A" w:rsidRDefault="0013662A" w:rsidP="001366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1F82" w14:textId="77777777" w:rsidR="00483052" w:rsidRDefault="00483052">
    <w:pPr>
      <w:pStyle w:val="Header"/>
    </w:pPr>
    <w:r>
      <w:rPr>
        <w:noProof/>
        <w:lang w:eastAsia="en-AU"/>
      </w:rPr>
      <w:drawing>
        <wp:anchor distT="0" distB="0" distL="114300" distR="114300" simplePos="0" relativeHeight="251658240" behindDoc="1" locked="0" layoutInCell="1" allowOverlap="1" wp14:anchorId="15391F84" wp14:editId="15391F85">
          <wp:simplePos x="0" y="0"/>
          <wp:positionH relativeFrom="page">
            <wp:posOffset>0</wp:posOffset>
          </wp:positionH>
          <wp:positionV relativeFrom="page">
            <wp:posOffset>0</wp:posOffset>
          </wp:positionV>
          <wp:extent cx="7558768" cy="10691999"/>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yer_base_31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768" cy="106919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776BD"/>
    <w:multiLevelType w:val="hybridMultilevel"/>
    <w:tmpl w:val="F2B80AF2"/>
    <w:lvl w:ilvl="0" w:tplc="0C090003">
      <w:start w:val="1"/>
      <w:numFmt w:val="bullet"/>
      <w:lvlText w:val="o"/>
      <w:lvlJc w:val="left"/>
      <w:pPr>
        <w:ind w:left="720" w:hanging="360"/>
      </w:pPr>
      <w:rPr>
        <w:rFonts w:ascii="Courier New" w:hAnsi="Courier New" w:cs="Courier New" w:hint="default"/>
        <w:color w:val="005B38"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2"/>
  <w:drawingGridVerticalSpacing w:val="14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BD"/>
    <w:rsid w:val="000244A9"/>
    <w:rsid w:val="000817F3"/>
    <w:rsid w:val="00090F60"/>
    <w:rsid w:val="00104977"/>
    <w:rsid w:val="0013662A"/>
    <w:rsid w:val="001437E0"/>
    <w:rsid w:val="00171B7B"/>
    <w:rsid w:val="001C7D1F"/>
    <w:rsid w:val="001F6030"/>
    <w:rsid w:val="001F68E9"/>
    <w:rsid w:val="00220E8F"/>
    <w:rsid w:val="00232283"/>
    <w:rsid w:val="002C7D7D"/>
    <w:rsid w:val="002E5F5B"/>
    <w:rsid w:val="00355004"/>
    <w:rsid w:val="003929E7"/>
    <w:rsid w:val="00466DB9"/>
    <w:rsid w:val="00471692"/>
    <w:rsid w:val="00483052"/>
    <w:rsid w:val="0048357D"/>
    <w:rsid w:val="00492C70"/>
    <w:rsid w:val="004A609E"/>
    <w:rsid w:val="004C2780"/>
    <w:rsid w:val="004C27CB"/>
    <w:rsid w:val="004C6976"/>
    <w:rsid w:val="00521D1A"/>
    <w:rsid w:val="0056716B"/>
    <w:rsid w:val="005725E2"/>
    <w:rsid w:val="00597A85"/>
    <w:rsid w:val="005A409E"/>
    <w:rsid w:val="005A4DC8"/>
    <w:rsid w:val="005D455D"/>
    <w:rsid w:val="006F1E2D"/>
    <w:rsid w:val="006F52D0"/>
    <w:rsid w:val="00753150"/>
    <w:rsid w:val="0077027C"/>
    <w:rsid w:val="00783784"/>
    <w:rsid w:val="00794DF0"/>
    <w:rsid w:val="007C3222"/>
    <w:rsid w:val="007D3AE7"/>
    <w:rsid w:val="007D793C"/>
    <w:rsid w:val="00824985"/>
    <w:rsid w:val="008356D3"/>
    <w:rsid w:val="00881846"/>
    <w:rsid w:val="00882643"/>
    <w:rsid w:val="00885FFD"/>
    <w:rsid w:val="00897837"/>
    <w:rsid w:val="008C6F0A"/>
    <w:rsid w:val="008E3665"/>
    <w:rsid w:val="008F7FE4"/>
    <w:rsid w:val="009268E4"/>
    <w:rsid w:val="00930DF8"/>
    <w:rsid w:val="00933CEB"/>
    <w:rsid w:val="0096089A"/>
    <w:rsid w:val="009668ED"/>
    <w:rsid w:val="00981DA1"/>
    <w:rsid w:val="00990D6C"/>
    <w:rsid w:val="009B0844"/>
    <w:rsid w:val="00A91C4C"/>
    <w:rsid w:val="00AA1620"/>
    <w:rsid w:val="00AA59CF"/>
    <w:rsid w:val="00AF0C79"/>
    <w:rsid w:val="00B17ECC"/>
    <w:rsid w:val="00B85FD3"/>
    <w:rsid w:val="00BA10C4"/>
    <w:rsid w:val="00BB5682"/>
    <w:rsid w:val="00BD41EB"/>
    <w:rsid w:val="00BD7C33"/>
    <w:rsid w:val="00BE3C2D"/>
    <w:rsid w:val="00C7143D"/>
    <w:rsid w:val="00C729CE"/>
    <w:rsid w:val="00CF2778"/>
    <w:rsid w:val="00CF64E2"/>
    <w:rsid w:val="00D147D4"/>
    <w:rsid w:val="00D636EE"/>
    <w:rsid w:val="00D9301F"/>
    <w:rsid w:val="00DD22D0"/>
    <w:rsid w:val="00DE4BFE"/>
    <w:rsid w:val="00E40563"/>
    <w:rsid w:val="00E47483"/>
    <w:rsid w:val="00E775B0"/>
    <w:rsid w:val="00F647BD"/>
    <w:rsid w:val="00FF0D8D"/>
    <w:rsid w:val="00FF1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391F66"/>
  <w15:docId w15:val="{97AAB3AB-B004-4B23-90CF-0A0F692B9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lsdException w:name="Balloon Text" w:semiHidden="1"/>
    <w:lsdException w:name="Table Grid" w:semiHidden="1" w:uiPriority="59"/>
    <w:lsdException w:name="Table Theme" w:semiHidden="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A91C4C"/>
    <w:pPr>
      <w:spacing w:after="170" w:line="240" w:lineRule="auto"/>
    </w:pPr>
    <w:rPr>
      <w:rFonts w:ascii="Arial" w:hAnsi="Arial"/>
      <w:sz w:val="24"/>
    </w:rPr>
  </w:style>
  <w:style w:type="paragraph" w:styleId="Heading1">
    <w:name w:val="heading 1"/>
    <w:basedOn w:val="Normal"/>
    <w:next w:val="Normal"/>
    <w:link w:val="Heading1Char"/>
    <w:uiPriority w:val="9"/>
    <w:qFormat/>
    <w:rsid w:val="00753150"/>
    <w:pPr>
      <w:keepNext/>
      <w:keepLines/>
      <w:spacing w:before="480" w:after="480"/>
      <w:outlineLvl w:val="0"/>
    </w:pPr>
    <w:rPr>
      <w:rFonts w:eastAsiaTheme="majorEastAsia" w:cstheme="majorBidi"/>
      <w:bCs/>
      <w:color w:val="005B38" w:themeColor="accent1"/>
      <w:sz w:val="64"/>
      <w:szCs w:val="28"/>
    </w:rPr>
  </w:style>
  <w:style w:type="paragraph" w:styleId="Heading2">
    <w:name w:val="heading 2"/>
    <w:basedOn w:val="Normal"/>
    <w:next w:val="Normal"/>
    <w:link w:val="Heading2Char"/>
    <w:uiPriority w:val="9"/>
    <w:qFormat/>
    <w:rsid w:val="002E5F5B"/>
    <w:pPr>
      <w:keepNext/>
      <w:keepLines/>
      <w:spacing w:before="280" w:after="100"/>
      <w:outlineLvl w:val="1"/>
    </w:pPr>
    <w:rPr>
      <w:rFonts w:eastAsiaTheme="majorEastAsia" w:cstheme="majorBidi"/>
      <w:b/>
      <w:bCs/>
      <w:color w:val="005B38" w:themeColor="accent1"/>
      <w:sz w:val="30"/>
      <w:szCs w:val="26"/>
    </w:rPr>
  </w:style>
  <w:style w:type="paragraph" w:styleId="Heading3">
    <w:name w:val="heading 3"/>
    <w:basedOn w:val="Normal"/>
    <w:next w:val="Normal"/>
    <w:link w:val="Heading3Char"/>
    <w:uiPriority w:val="9"/>
    <w:qFormat/>
    <w:rsid w:val="0013662A"/>
    <w:pPr>
      <w:keepNext/>
      <w:keepLines/>
      <w:spacing w:before="260" w:after="100"/>
      <w:outlineLvl w:val="2"/>
    </w:pPr>
    <w:rPr>
      <w:rFonts w:eastAsiaTheme="majorEastAsia" w:cstheme="majorBidi"/>
      <w:b/>
      <w:bCs/>
      <w:color w:val="005B38" w:themeColor="accent1"/>
      <w:sz w:val="26"/>
    </w:rPr>
  </w:style>
  <w:style w:type="paragraph" w:styleId="Heading4">
    <w:name w:val="heading 4"/>
    <w:basedOn w:val="Normal"/>
    <w:next w:val="Normal"/>
    <w:link w:val="Heading4Char"/>
    <w:uiPriority w:val="9"/>
    <w:rsid w:val="00171B7B"/>
    <w:pPr>
      <w:keepNext/>
      <w:keepLines/>
      <w:spacing w:before="240" w:after="60"/>
      <w:outlineLvl w:val="3"/>
    </w:pPr>
    <w:rPr>
      <w:rFonts w:eastAsiaTheme="majorEastAsia" w:cstheme="majorBidi"/>
      <w:b/>
      <w:bCs/>
      <w:iCs/>
      <w:color w:val="757477" w:themeColor="text2"/>
    </w:rPr>
  </w:style>
  <w:style w:type="paragraph" w:styleId="Heading5">
    <w:name w:val="heading 5"/>
    <w:basedOn w:val="Normal"/>
    <w:next w:val="Normal"/>
    <w:link w:val="Heading5Char"/>
    <w:uiPriority w:val="9"/>
    <w:semiHidden/>
    <w:qFormat/>
    <w:rsid w:val="00A91C4C"/>
    <w:pPr>
      <w:keepNext/>
      <w:keepLines/>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qFormat/>
    <w:rsid w:val="00A91C4C"/>
    <w:pPr>
      <w:keepNext/>
      <w:keepLines/>
      <w:spacing w:before="200" w:after="0"/>
      <w:outlineLvl w:val="5"/>
    </w:pPr>
    <w:rPr>
      <w:rFonts w:eastAsiaTheme="majorEastAsia" w:cstheme="majorBidi"/>
      <w:i/>
      <w:iCs/>
      <w:color w:val="000000" w:themeColor="text1"/>
    </w:rPr>
  </w:style>
  <w:style w:type="paragraph" w:styleId="Heading7">
    <w:name w:val="heading 7"/>
    <w:basedOn w:val="Normal"/>
    <w:next w:val="Normal"/>
    <w:link w:val="Heading7Char"/>
    <w:uiPriority w:val="9"/>
    <w:semiHidden/>
    <w:qFormat/>
    <w:rsid w:val="00A91C4C"/>
    <w:pPr>
      <w:keepNext/>
      <w:keepLines/>
      <w:spacing w:before="200" w:after="0"/>
      <w:outlineLvl w:val="6"/>
    </w:pPr>
    <w:rPr>
      <w:rFonts w:eastAsiaTheme="majorEastAsia" w:cstheme="majorBidi"/>
      <w:i/>
      <w:iCs/>
      <w:color w:val="000000" w:themeColor="text1"/>
    </w:rPr>
  </w:style>
  <w:style w:type="paragraph" w:styleId="Heading8">
    <w:name w:val="heading 8"/>
    <w:basedOn w:val="Normal"/>
    <w:next w:val="Normal"/>
    <w:link w:val="Heading8Char"/>
    <w:uiPriority w:val="9"/>
    <w:semiHidden/>
    <w:qFormat/>
    <w:rsid w:val="00A91C4C"/>
    <w:pPr>
      <w:keepNext/>
      <w:keepLines/>
      <w:spacing w:before="200" w:after="0"/>
      <w:outlineLvl w:val="7"/>
    </w:pPr>
    <w:rPr>
      <w:rFonts w:eastAsiaTheme="majorEastAsia" w:cstheme="majorBidi"/>
      <w:color w:val="000000" w:themeColor="text1"/>
      <w:szCs w:val="20"/>
    </w:rPr>
  </w:style>
  <w:style w:type="paragraph" w:styleId="Heading9">
    <w:name w:val="heading 9"/>
    <w:basedOn w:val="Normal"/>
    <w:next w:val="Normal"/>
    <w:link w:val="Heading9Char"/>
    <w:uiPriority w:val="9"/>
    <w:semiHidden/>
    <w:qFormat/>
    <w:rsid w:val="00A91C4C"/>
    <w:pPr>
      <w:keepNext/>
      <w:keepLines/>
      <w:spacing w:before="200" w:after="0"/>
      <w:outlineLvl w:val="8"/>
    </w:pPr>
    <w:rPr>
      <w:rFonts w:eastAsiaTheme="majorEastAsia" w:cstheme="majorBidi"/>
      <w: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91C4C"/>
    <w:rPr>
      <w:rFonts w:ascii="Arial" w:eastAsiaTheme="majorEastAsia" w:hAnsi="Arial" w:cstheme="majorBidi"/>
      <w:color w:val="000000" w:themeColor="text1"/>
      <w:sz w:val="24"/>
    </w:rPr>
  </w:style>
  <w:style w:type="paragraph" w:customStyle="1" w:styleId="Headlines">
    <w:name w:val="Headlines"/>
    <w:basedOn w:val="Normal"/>
    <w:next w:val="Normal"/>
    <w:rsid w:val="004C2780"/>
    <w:pPr>
      <w:spacing w:before="240" w:after="660"/>
    </w:pPr>
    <w:rPr>
      <w:b/>
      <w:color w:val="000000" w:themeColor="text1"/>
      <w:sz w:val="60"/>
    </w:rPr>
  </w:style>
  <w:style w:type="paragraph" w:styleId="ListParagraph">
    <w:name w:val="List Paragraph"/>
    <w:basedOn w:val="Normal"/>
    <w:uiPriority w:val="34"/>
    <w:semiHidden/>
    <w:qFormat/>
    <w:rsid w:val="00171B7B"/>
    <w:pPr>
      <w:ind w:left="720"/>
      <w:contextualSpacing/>
    </w:pPr>
  </w:style>
  <w:style w:type="character" w:customStyle="1" w:styleId="Italics">
    <w:name w:val="Italics"/>
    <w:uiPriority w:val="2"/>
    <w:rsid w:val="00897837"/>
    <w:rPr>
      <w:i/>
    </w:rPr>
  </w:style>
  <w:style w:type="character" w:customStyle="1" w:styleId="Bold">
    <w:name w:val="Bold"/>
    <w:uiPriority w:val="2"/>
    <w:rsid w:val="008F7FE4"/>
    <w:rPr>
      <w:b/>
    </w:rPr>
  </w:style>
  <w:style w:type="character" w:customStyle="1" w:styleId="Heading1Char">
    <w:name w:val="Heading 1 Char"/>
    <w:basedOn w:val="DefaultParagraphFont"/>
    <w:link w:val="Heading1"/>
    <w:uiPriority w:val="9"/>
    <w:rsid w:val="00753150"/>
    <w:rPr>
      <w:rFonts w:ascii="Arial" w:eastAsiaTheme="majorEastAsia" w:hAnsi="Arial" w:cstheme="majorBidi"/>
      <w:bCs/>
      <w:color w:val="005B38" w:themeColor="accent1"/>
      <w:sz w:val="64"/>
      <w:szCs w:val="28"/>
    </w:rPr>
  </w:style>
  <w:style w:type="character" w:customStyle="1" w:styleId="Heading2Char">
    <w:name w:val="Heading 2 Char"/>
    <w:basedOn w:val="DefaultParagraphFont"/>
    <w:link w:val="Heading2"/>
    <w:uiPriority w:val="9"/>
    <w:rsid w:val="002E5F5B"/>
    <w:rPr>
      <w:rFonts w:ascii="Arial" w:eastAsiaTheme="majorEastAsia" w:hAnsi="Arial" w:cstheme="majorBidi"/>
      <w:b/>
      <w:bCs/>
      <w:color w:val="005B38" w:themeColor="accent1"/>
      <w:sz w:val="30"/>
      <w:szCs w:val="26"/>
    </w:rPr>
  </w:style>
  <w:style w:type="character" w:customStyle="1" w:styleId="Heading3Char">
    <w:name w:val="Heading 3 Char"/>
    <w:basedOn w:val="DefaultParagraphFont"/>
    <w:link w:val="Heading3"/>
    <w:uiPriority w:val="9"/>
    <w:rsid w:val="0013662A"/>
    <w:rPr>
      <w:rFonts w:ascii="Arial" w:eastAsiaTheme="majorEastAsia" w:hAnsi="Arial" w:cstheme="majorBidi"/>
      <w:b/>
      <w:bCs/>
      <w:color w:val="005B38" w:themeColor="accent1"/>
      <w:sz w:val="26"/>
    </w:rPr>
  </w:style>
  <w:style w:type="character" w:customStyle="1" w:styleId="Heading4Char">
    <w:name w:val="Heading 4 Char"/>
    <w:basedOn w:val="DefaultParagraphFont"/>
    <w:link w:val="Heading4"/>
    <w:uiPriority w:val="9"/>
    <w:rsid w:val="00171B7B"/>
    <w:rPr>
      <w:rFonts w:ascii="Arial" w:eastAsiaTheme="majorEastAsia" w:hAnsi="Arial" w:cstheme="majorBidi"/>
      <w:b/>
      <w:bCs/>
      <w:iCs/>
      <w:color w:val="757477" w:themeColor="text2"/>
      <w:sz w:val="24"/>
    </w:rPr>
  </w:style>
  <w:style w:type="paragraph" w:styleId="TOCHeading">
    <w:name w:val="TOC Heading"/>
    <w:basedOn w:val="Heading1"/>
    <w:next w:val="Normal"/>
    <w:uiPriority w:val="39"/>
    <w:semiHidden/>
    <w:unhideWhenUsed/>
    <w:qFormat/>
    <w:rsid w:val="00981DA1"/>
    <w:pPr>
      <w:spacing w:after="0" w:line="276" w:lineRule="auto"/>
      <w:outlineLvl w:val="9"/>
    </w:pPr>
    <w:rPr>
      <w:rFonts w:asciiTheme="majorHAnsi" w:hAnsiTheme="majorHAnsi"/>
      <w:color w:val="004429" w:themeColor="accent1" w:themeShade="BF"/>
      <w:sz w:val="28"/>
      <w:lang w:val="en-US" w:eastAsia="ja-JP"/>
    </w:rPr>
  </w:style>
  <w:style w:type="paragraph" w:styleId="TOC1">
    <w:name w:val="toc 1"/>
    <w:basedOn w:val="Normal"/>
    <w:next w:val="Normal"/>
    <w:autoRedefine/>
    <w:uiPriority w:val="39"/>
    <w:rsid w:val="00DE4BFE"/>
    <w:pPr>
      <w:spacing w:after="100"/>
    </w:pPr>
    <w:rPr>
      <w:b/>
      <w:color w:val="000000" w:themeColor="text1"/>
    </w:rPr>
  </w:style>
  <w:style w:type="paragraph" w:styleId="TOC2">
    <w:name w:val="toc 2"/>
    <w:basedOn w:val="Normal"/>
    <w:next w:val="Normal"/>
    <w:autoRedefine/>
    <w:uiPriority w:val="39"/>
    <w:rsid w:val="00171B7B"/>
    <w:pPr>
      <w:spacing w:after="100"/>
      <w:ind w:left="240"/>
    </w:pPr>
    <w:rPr>
      <w:color w:val="000000" w:themeColor="text1"/>
    </w:rPr>
  </w:style>
  <w:style w:type="paragraph" w:styleId="TOC3">
    <w:name w:val="toc 3"/>
    <w:basedOn w:val="Normal"/>
    <w:next w:val="Normal"/>
    <w:autoRedefine/>
    <w:uiPriority w:val="39"/>
    <w:rsid w:val="00DE4BFE"/>
    <w:pPr>
      <w:spacing w:after="100"/>
      <w:ind w:left="480"/>
    </w:pPr>
    <w:rPr>
      <w:color w:val="000000" w:themeColor="text1"/>
    </w:rPr>
  </w:style>
  <w:style w:type="character" w:styleId="Hyperlink">
    <w:name w:val="Hyperlink"/>
    <w:basedOn w:val="DefaultParagraphFont"/>
    <w:uiPriority w:val="99"/>
    <w:unhideWhenUsed/>
    <w:rsid w:val="00990D6C"/>
    <w:rPr>
      <w:rFonts w:ascii="Arial" w:hAnsi="Arial"/>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DA1"/>
    <w:rPr>
      <w:rFonts w:ascii="Tahoma" w:hAnsi="Tahoma" w:cs="Tahoma"/>
      <w:sz w:val="16"/>
      <w:szCs w:val="16"/>
    </w:rPr>
  </w:style>
  <w:style w:type="character" w:customStyle="1" w:styleId="Heading6Char">
    <w:name w:val="Heading 6 Char"/>
    <w:basedOn w:val="DefaultParagraphFont"/>
    <w:link w:val="Heading6"/>
    <w:uiPriority w:val="9"/>
    <w:semiHidden/>
    <w:rsid w:val="00A91C4C"/>
    <w:rPr>
      <w:rFonts w:ascii="Arial" w:eastAsiaTheme="majorEastAsia" w:hAnsi="Arial" w:cstheme="majorBidi"/>
      <w:i/>
      <w:iCs/>
      <w:color w:val="000000" w:themeColor="text1"/>
      <w:sz w:val="24"/>
    </w:rPr>
  </w:style>
  <w:style w:type="character" w:customStyle="1" w:styleId="Heading7Char">
    <w:name w:val="Heading 7 Char"/>
    <w:basedOn w:val="DefaultParagraphFont"/>
    <w:link w:val="Heading7"/>
    <w:uiPriority w:val="9"/>
    <w:semiHidden/>
    <w:rsid w:val="00A91C4C"/>
    <w:rPr>
      <w:rFonts w:ascii="Arial" w:eastAsiaTheme="majorEastAsia" w:hAnsi="Arial" w:cstheme="majorBidi"/>
      <w:i/>
      <w:iCs/>
      <w:color w:val="000000" w:themeColor="text1"/>
      <w:sz w:val="24"/>
    </w:rPr>
  </w:style>
  <w:style w:type="character" w:customStyle="1" w:styleId="Heading8Char">
    <w:name w:val="Heading 8 Char"/>
    <w:basedOn w:val="DefaultParagraphFont"/>
    <w:link w:val="Heading8"/>
    <w:uiPriority w:val="9"/>
    <w:semiHidden/>
    <w:rsid w:val="00A91C4C"/>
    <w:rPr>
      <w:rFonts w:ascii="Arial" w:eastAsiaTheme="majorEastAsia" w:hAnsi="Arial" w:cstheme="majorBidi"/>
      <w:color w:val="000000" w:themeColor="text1"/>
      <w:sz w:val="24"/>
      <w:szCs w:val="20"/>
    </w:rPr>
  </w:style>
  <w:style w:type="character" w:customStyle="1" w:styleId="Heading9Char">
    <w:name w:val="Heading 9 Char"/>
    <w:basedOn w:val="DefaultParagraphFont"/>
    <w:link w:val="Heading9"/>
    <w:uiPriority w:val="9"/>
    <w:semiHidden/>
    <w:rsid w:val="00A91C4C"/>
    <w:rPr>
      <w:rFonts w:ascii="Arial" w:eastAsiaTheme="majorEastAsia" w:hAnsi="Arial" w:cstheme="majorBidi"/>
      <w:i/>
      <w:iCs/>
      <w:color w:val="000000" w:themeColor="text1"/>
      <w:sz w:val="24"/>
      <w:szCs w:val="20"/>
    </w:rPr>
  </w:style>
  <w:style w:type="table" w:styleId="TableGrid">
    <w:name w:val="Table Grid"/>
    <w:basedOn w:val="TableNormal"/>
    <w:uiPriority w:val="59"/>
    <w:rsid w:val="001F6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themeColor="text1"/>
      <w:sz w:val="24"/>
      <w:szCs w:val="20"/>
      <w:lang w:eastAsia="en-AU"/>
    </w:rPr>
    <w:tblPr/>
    <w:tblStylePr w:type="firstRow">
      <w:pPr>
        <w:spacing w:before="0" w:after="0" w:line="240" w:lineRule="auto"/>
      </w:pPr>
      <w:rPr>
        <w:b/>
        <w:bCs/>
      </w:rPr>
      <w:tblPr/>
      <w:trPr>
        <w:tblHeader/>
      </w:tr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005B38" w:themeFill="accent2"/>
      </w:tcPr>
    </w:tblStylePr>
  </w:style>
  <w:style w:type="table" w:styleId="LightList-Accent1">
    <w:name w:val="Light List Accent 1"/>
    <w:basedOn w:val="TableNormal"/>
    <w:uiPriority w:val="61"/>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pPr>
        <w:spacing w:before="0" w:after="0" w:line="240" w:lineRule="auto"/>
      </w:pPr>
      <w:rPr>
        <w:b/>
        <w:bCs/>
        <w:color w:val="FFFFFF" w:themeColor="background1"/>
      </w:rPr>
      <w:tbl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Shading-Accent1">
    <w:name w:val="Light Shading Accent 1"/>
    <w:basedOn w:val="TableNormal"/>
    <w:uiPriority w:val="60"/>
    <w:rsid w:val="001F68E9"/>
    <w:pPr>
      <w:spacing w:after="0" w:line="240" w:lineRule="auto"/>
    </w:pPr>
    <w:rPr>
      <w:color w:val="004429" w:themeColor="accent1" w:themeShade="BF"/>
    </w:rPr>
    <w:tblPr>
      <w:tblStyleRowBandSize w:val="1"/>
      <w:tblStyleColBandSize w:val="1"/>
      <w:tblBorders>
        <w:top w:val="single" w:sz="8" w:space="0" w:color="005B38" w:themeColor="accent1"/>
        <w:bottom w:val="single" w:sz="8" w:space="0" w:color="005B38" w:themeColor="accent1"/>
      </w:tblBorders>
    </w:tblPr>
    <w:tblStylePr w:type="fir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lastRow">
      <w:pPr>
        <w:spacing w:before="0" w:after="0" w:line="240" w:lineRule="auto"/>
      </w:pPr>
      <w:rPr>
        <w:b/>
        <w:bCs/>
      </w:rPr>
      <w:tblPr/>
      <w:tcPr>
        <w:tcBorders>
          <w:top w:val="single" w:sz="8" w:space="0" w:color="005B38" w:themeColor="accent1"/>
          <w:left w:val="nil"/>
          <w:bottom w:val="single" w:sz="8" w:space="0" w:color="005B3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left w:val="nil"/>
          <w:right w:val="nil"/>
          <w:insideH w:val="nil"/>
          <w:insideV w:val="nil"/>
        </w:tcBorders>
        <w:shd w:val="clear" w:color="auto" w:fill="97FFD6" w:themeFill="accent1" w:themeFillTint="3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shd w:val="clear" w:color="auto" w:fill="005B38" w:themeFill="accent1"/>
      </w:tcPr>
    </w:tblStylePr>
    <w:tblStylePr w:type="lastRow">
      <w:pPr>
        <w:spacing w:before="0" w:after="0" w:line="240" w:lineRule="auto"/>
      </w:pPr>
      <w:rPr>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tcBorders>
      </w:tcPr>
    </w:tblStylePr>
    <w:tblStylePr w:type="firstCol">
      <w:rPr>
        <w:b/>
        <w:bCs/>
      </w:rPr>
    </w:tblStylePr>
    <w:tblStylePr w:type="lastCol">
      <w:rPr>
        <w:b/>
        <w:bCs/>
      </w:r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style>
  <w:style w:type="table" w:styleId="LightGrid-Accent1">
    <w:name w:val="Light Grid Accent 1"/>
    <w:basedOn w:val="TableNormal"/>
    <w:uiPriority w:val="62"/>
    <w:rsid w:val="001F68E9"/>
    <w:pPr>
      <w:spacing w:after="0" w:line="240" w:lineRule="auto"/>
    </w:p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insideH w:val="single" w:sz="8" w:space="0" w:color="005B38" w:themeColor="accent1"/>
        <w:insideV w:val="single" w:sz="8" w:space="0" w:color="005B3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97FFD6" w:themeFill="accent1" w:themeFillTint="3F"/>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line="240" w:lineRule="auto"/>
      </w:pPr>
      <w:rPr>
        <w:rFonts w:asciiTheme="majorHAnsi" w:eastAsiaTheme="majorEastAsia" w:hAnsiTheme="majorHAnsi" w:cstheme="majorBidi"/>
        <w:b/>
        <w:bCs/>
      </w:rPr>
      <w:tblPr/>
      <w:trPr>
        <w:tblHeader/>
      </w:trPr>
      <w:tcPr>
        <w:tcBorders>
          <w:top w:val="single" w:sz="8" w:space="0" w:color="005B38" w:themeColor="accent1"/>
          <w:left w:val="single" w:sz="8" w:space="0" w:color="005B38" w:themeColor="accent1"/>
          <w:bottom w:val="single" w:sz="18" w:space="0" w:color="005B38" w:themeColor="accent1"/>
          <w:right w:val="single" w:sz="8" w:space="0" w:color="005B38" w:themeColor="accent1"/>
          <w:insideH w:val="nil"/>
          <w:insideV w:val="single" w:sz="8" w:space="0" w:color="005B3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B38" w:themeColor="accent1"/>
          <w:left w:val="single" w:sz="8" w:space="0" w:color="005B38" w:themeColor="accent1"/>
          <w:bottom w:val="single" w:sz="8" w:space="0" w:color="005B38" w:themeColor="accent1"/>
          <w:right w:val="single" w:sz="8" w:space="0" w:color="005B38" w:themeColor="accent1"/>
          <w:insideH w:val="nil"/>
          <w:insideV w:val="single" w:sz="8" w:space="0" w:color="005B3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tcPr>
    </w:tblStylePr>
    <w:tblStylePr w:type="band1Vert">
      <w:tblPr/>
      <w:tcPr>
        <w:tcBorders>
          <w:top w:val="single" w:sz="8" w:space="0" w:color="005B38" w:themeColor="accent1"/>
          <w:left w:val="single" w:sz="8" w:space="0" w:color="005B38" w:themeColor="accent1"/>
          <w:bottom w:val="single" w:sz="8" w:space="0" w:color="005B38" w:themeColor="accent1"/>
          <w:right w:val="single" w:sz="8" w:space="0" w:color="005B38" w:themeColor="accent1"/>
        </w:tcBorders>
        <w:shd w:val="clear" w:color="auto" w:fill="97FFD6" w:themeFill="accent1" w:themeFillTint="3F"/>
      </w:tcPr>
    </w:tblStylePr>
    <w:tblStylePr w:type="band1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shd w:val="clear" w:color="auto" w:fill="005B38" w:themeFill="accent2"/>
      </w:tcPr>
    </w:tblStylePr>
    <w:tblStylePr w:type="band2Horz">
      <w:tblPr/>
      <w:tcPr>
        <w:tcBorders>
          <w:top w:val="single" w:sz="8" w:space="0" w:color="005B38" w:themeColor="accent1"/>
          <w:left w:val="single" w:sz="8" w:space="0" w:color="005B38" w:themeColor="accent1"/>
          <w:bottom w:val="single" w:sz="8" w:space="0" w:color="005B38" w:themeColor="accent1"/>
          <w:right w:val="single" w:sz="8" w:space="0" w:color="005B38" w:themeColor="accent1"/>
          <w:insideV w:val="single" w:sz="8" w:space="0" w:color="005B38" w:themeColor="accent1"/>
        </w:tcBorders>
      </w:tcPr>
    </w:tblStylePr>
  </w:style>
  <w:style w:type="table" w:styleId="MediumShading1-Accent1">
    <w:name w:val="Medium Shading 1 Accent 1"/>
    <w:basedOn w:val="TableNormal"/>
    <w:uiPriority w:val="63"/>
    <w:rsid w:val="001F68E9"/>
    <w:pPr>
      <w:spacing w:after="0" w:line="240" w:lineRule="auto"/>
    </w:pPr>
    <w:tblPr>
      <w:tblStyleRowBandSize w:val="1"/>
      <w:tblStyleColBandSize w:val="1"/>
      <w:tbl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single" w:sz="8" w:space="0" w:color="00C477" w:themeColor="accent1" w:themeTint="BF"/>
      </w:tblBorders>
    </w:tblPr>
    <w:tblStylePr w:type="firstRow">
      <w:pPr>
        <w:spacing w:before="0" w:after="0" w:line="240" w:lineRule="auto"/>
      </w:pPr>
      <w:rPr>
        <w:b/>
        <w:bCs/>
        <w:color w:val="FFFFFF" w:themeColor="background1"/>
      </w:rPr>
      <w:tbl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97FFD6" w:themeFill="accent1" w:themeFillTint="3F"/>
      </w:tcPr>
    </w:tblStylePr>
    <w:tblStylePr w:type="band2Horz">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line="240" w:lineRule="auto"/>
      </w:pPr>
      <w:rPr>
        <w:b/>
        <w:bCs/>
        <w:color w:val="FFFFFF" w:themeColor="background1"/>
      </w:rPr>
      <w:tblPr/>
      <w:trPr>
        <w:tblHeader/>
      </w:trPr>
      <w:tcPr>
        <w:tcBorders>
          <w:top w:val="single" w:sz="8"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shd w:val="clear" w:color="auto" w:fill="005B38" w:themeFill="accent1"/>
      </w:tcPr>
    </w:tblStylePr>
    <w:tblStylePr w:type="lastRow">
      <w:pPr>
        <w:spacing w:before="0" w:after="0" w:line="240" w:lineRule="auto"/>
      </w:pPr>
      <w:rPr>
        <w:b/>
        <w:bCs/>
      </w:rPr>
      <w:tblPr/>
      <w:tcPr>
        <w:tcBorders>
          <w:top w:val="double" w:sz="6" w:space="0" w:color="00C477" w:themeColor="accent1" w:themeTint="BF"/>
          <w:left w:val="single" w:sz="8" w:space="0" w:color="00C477" w:themeColor="accent1" w:themeTint="BF"/>
          <w:bottom w:val="single" w:sz="8" w:space="0" w:color="00C477" w:themeColor="accent1" w:themeTint="BF"/>
          <w:right w:val="single" w:sz="8" w:space="0" w:color="00C47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7FFD6" w:themeFill="accent1" w:themeFillTint="3F"/>
      </w:tcPr>
    </w:tblStylePr>
    <w:tblStylePr w:type="band1Horz">
      <w:tblPr/>
      <w:tcPr>
        <w:tcBorders>
          <w:insideH w:val="nil"/>
          <w:insideV w:val="nil"/>
        </w:tcBorders>
        <w:shd w:val="clear" w:color="auto" w:fill="FFFFFF" w:themeFill="background1"/>
      </w:tcPr>
    </w:tblStylePr>
    <w:tblStylePr w:type="band2Horz">
      <w:tblPr/>
      <w:tcPr>
        <w:tcBorders>
          <w:insideH w:val="nil"/>
          <w:insideV w:val="nil"/>
        </w:tcBorders>
        <w:shd w:val="clear" w:color="auto" w:fill="005B38" w:themeFill="accent2"/>
      </w:tcPr>
    </w:tblStylePr>
  </w:style>
  <w:style w:type="table" w:styleId="MediumList1-Accent1">
    <w:name w:val="Medium List 1 Accent 1"/>
    <w:basedOn w:val="TableNormal"/>
    <w:uiPriority w:val="65"/>
    <w:rsid w:val="001F68E9"/>
    <w:pPr>
      <w:spacing w:after="0" w:line="240" w:lineRule="auto"/>
    </w:pPr>
    <w:rPr>
      <w:color w:val="000000" w:themeColor="text1"/>
    </w:rPr>
    <w:tblPr>
      <w:tblStyleRowBandSize w:val="1"/>
      <w:tblStyleColBandSize w:val="1"/>
      <w:tblBorders>
        <w:top w:val="single" w:sz="8" w:space="0" w:color="005B38" w:themeColor="accent1"/>
        <w:bottom w:val="single" w:sz="8" w:space="0" w:color="005B38" w:themeColor="accent1"/>
      </w:tblBorders>
    </w:tblPr>
    <w:tblStylePr w:type="firstRow">
      <w:rPr>
        <w:rFonts w:asciiTheme="majorHAnsi" w:eastAsiaTheme="majorEastAsia" w:hAnsiTheme="majorHAnsi" w:cstheme="majorBidi"/>
      </w:rPr>
      <w:tbl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97FFD6" w:themeFill="accent1" w:themeFillTint="3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heme="majorHAnsi" w:eastAsiaTheme="majorEastAsia" w:hAnsiTheme="majorHAnsi" w:cstheme="majorBidi"/>
      </w:rPr>
      <w:tblPr/>
      <w:trPr>
        <w:tblHeader/>
      </w:trPr>
      <w:tcPr>
        <w:tcBorders>
          <w:top w:val="nil"/>
          <w:bottom w:val="single" w:sz="8" w:space="0" w:color="005B38" w:themeColor="accent1"/>
        </w:tcBorders>
      </w:tcPr>
    </w:tblStylePr>
    <w:tblStylePr w:type="lastRow">
      <w:rPr>
        <w:b/>
        <w:bCs/>
        <w:color w:val="757477" w:themeColor="text2"/>
      </w:rPr>
      <w:tblPr/>
      <w:tcPr>
        <w:tcBorders>
          <w:top w:val="single" w:sz="8" w:space="0" w:color="005B38" w:themeColor="accent1"/>
          <w:bottom w:val="single" w:sz="8" w:space="0" w:color="005B38" w:themeColor="accent1"/>
        </w:tcBorders>
      </w:tcPr>
    </w:tblStylePr>
    <w:tblStylePr w:type="firstCol">
      <w:rPr>
        <w:b/>
        <w:bCs/>
      </w:rPr>
    </w:tblStylePr>
    <w:tblStylePr w:type="lastCol">
      <w:rPr>
        <w:b/>
        <w:bCs/>
      </w:rPr>
      <w:tblPr/>
      <w:tcPr>
        <w:tcBorders>
          <w:top w:val="single" w:sz="8" w:space="0" w:color="005B38" w:themeColor="accent1"/>
          <w:bottom w:val="single" w:sz="8" w:space="0" w:color="005B38" w:themeColor="accent1"/>
        </w:tcBorders>
      </w:tcPr>
    </w:tblStylePr>
    <w:tblStylePr w:type="band1Vert">
      <w:tblPr/>
      <w:tcPr>
        <w:shd w:val="clear" w:color="auto" w:fill="97FFD6" w:themeFill="accent1" w:themeFillTint="3F"/>
      </w:tcPr>
    </w:tblStylePr>
    <w:tblStylePr w:type="band1Horz">
      <w:tblPr/>
      <w:tcPr>
        <w:shd w:val="clear" w:color="auto" w:fill="005B38" w:themeFill="accent2"/>
      </w:tcPr>
    </w:tblStylePr>
  </w:style>
  <w:style w:type="table" w:customStyle="1" w:styleId="WAHealthTable7">
    <w:name w:val="WA Health Table 7"/>
    <w:basedOn w:val="LightList"/>
    <w:uiPriority w:val="99"/>
    <w:rsid w:val="00930DF8"/>
    <w:rPr>
      <w:rFonts w:ascii="Arial" w:hAnsi="Arial"/>
      <w:sz w:val="24"/>
      <w:szCs w:val="20"/>
      <w:lang w:eastAsia="en-AU"/>
    </w:rPr>
    <w:tblPr/>
    <w:tblStylePr w:type="firstRow">
      <w:pPr>
        <w:spacing w:before="0" w:after="0" w:line="240" w:lineRule="auto"/>
      </w:pPr>
      <w:rPr>
        <w:b/>
        <w:bCs/>
        <w:color w:val="000000" w:themeColor="text1"/>
      </w:rPr>
      <w:tblPr/>
      <w:trPr>
        <w:tblHeader/>
      </w:trPr>
      <w:tcPr>
        <w:shd w:val="clear" w:color="auto" w:fill="FFFFFF" w:themeFill="background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WAHealthTable3">
    <w:name w:val="WA Health Table 3"/>
    <w:basedOn w:val="MediumList2-Accent1"/>
    <w:uiPriority w:val="99"/>
    <w:rsid w:val="00930DF8"/>
    <w:rPr>
      <w:rFonts w:ascii="Arial" w:hAnsi="Arial"/>
      <w:sz w:val="24"/>
      <w:szCs w:val="20"/>
      <w:lang w:eastAsia="en-AU"/>
    </w:rPr>
    <w:tblPr/>
    <w:tblStylePr w:type="firstRow">
      <w:rPr>
        <w:sz w:val="24"/>
        <w:szCs w:val="24"/>
      </w:rPr>
      <w:tblPr/>
      <w:trPr>
        <w:tblHeader/>
      </w:tr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005B38" w:themeFill="accent2"/>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E4056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2-Accent1">
    <w:name w:val="Medium List 2 Accent 1"/>
    <w:basedOn w:val="TableNormal"/>
    <w:uiPriority w:val="66"/>
    <w:rsid w:val="00E4056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B38" w:themeColor="accent1"/>
        <w:left w:val="single" w:sz="8" w:space="0" w:color="005B38" w:themeColor="accent1"/>
        <w:bottom w:val="single" w:sz="8" w:space="0" w:color="005B38" w:themeColor="accent1"/>
        <w:right w:val="single" w:sz="8" w:space="0" w:color="005B38" w:themeColor="accent1"/>
      </w:tblBorders>
    </w:tblPr>
    <w:tblStylePr w:type="firstRow">
      <w:rPr>
        <w:sz w:val="24"/>
        <w:szCs w:val="24"/>
      </w:rPr>
      <w:tblPr/>
      <w:tcPr>
        <w:tcBorders>
          <w:top w:val="nil"/>
          <w:left w:val="nil"/>
          <w:bottom w:val="single" w:sz="24" w:space="0" w:color="005B38" w:themeColor="accent1"/>
          <w:right w:val="nil"/>
          <w:insideH w:val="nil"/>
          <w:insideV w:val="nil"/>
        </w:tcBorders>
        <w:shd w:val="clear" w:color="auto" w:fill="FFFFFF" w:themeFill="background1"/>
      </w:tcPr>
    </w:tblStylePr>
    <w:tblStylePr w:type="lastRow">
      <w:tblPr/>
      <w:tcPr>
        <w:tcBorders>
          <w:top w:val="single" w:sz="8" w:space="0" w:color="005B3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B38" w:themeColor="accent1"/>
          <w:insideH w:val="nil"/>
          <w:insideV w:val="nil"/>
        </w:tcBorders>
        <w:shd w:val="clear" w:color="auto" w:fill="FFFFFF" w:themeFill="background1"/>
      </w:tcPr>
    </w:tblStylePr>
    <w:tblStylePr w:type="lastCol">
      <w:tblPr/>
      <w:tcPr>
        <w:tcBorders>
          <w:top w:val="nil"/>
          <w:left w:val="single" w:sz="8" w:space="0" w:color="005B3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7FFD6" w:themeFill="accent1" w:themeFillTint="3F"/>
      </w:tcPr>
    </w:tblStylePr>
    <w:tblStylePr w:type="band1Horz">
      <w:tblPr/>
      <w:tcPr>
        <w:tcBorders>
          <w:top w:val="nil"/>
          <w:bottom w:val="nil"/>
          <w:insideH w:val="nil"/>
          <w:insideV w:val="nil"/>
        </w:tcBorders>
        <w:shd w:val="clear" w:color="auto" w:fill="97FF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itleHeader">
    <w:name w:val="Title Header"/>
    <w:basedOn w:val="Normal"/>
    <w:next w:val="Normal"/>
    <w:uiPriority w:val="99"/>
    <w:rsid w:val="00F647BD"/>
    <w:pPr>
      <w:suppressAutoHyphens/>
      <w:autoSpaceDE w:val="0"/>
      <w:autoSpaceDN w:val="0"/>
      <w:adjustRightInd w:val="0"/>
      <w:spacing w:before="113" w:after="680" w:line="680" w:lineRule="atLeast"/>
      <w:textAlignment w:val="center"/>
    </w:pPr>
    <w:rPr>
      <w:rFonts w:ascii="Arial MT Std" w:hAnsi="Arial MT Std" w:cs="Arial MT Std"/>
      <w:color w:val="006D00"/>
      <w:sz w:val="64"/>
      <w:szCs w:val="64"/>
      <w:lang w:val="en-GB"/>
    </w:rPr>
  </w:style>
  <w:style w:type="paragraph" w:customStyle="1" w:styleId="Bodycopy">
    <w:name w:val="Body copy"/>
    <w:basedOn w:val="Normal"/>
    <w:uiPriority w:val="99"/>
    <w:rsid w:val="00F647BD"/>
    <w:pPr>
      <w:suppressAutoHyphens/>
      <w:autoSpaceDE w:val="0"/>
      <w:autoSpaceDN w:val="0"/>
      <w:adjustRightInd w:val="0"/>
      <w:spacing w:after="142" w:line="290" w:lineRule="atLeast"/>
      <w:textAlignment w:val="center"/>
    </w:pPr>
    <w:rPr>
      <w:rFonts w:ascii="Arial MT Std" w:hAnsi="Arial MT Std" w:cs="Arial MT Std"/>
      <w:color w:val="000000"/>
      <w:szCs w:val="24"/>
      <w:lang w:val="en-GB"/>
    </w:rPr>
  </w:style>
  <w:style w:type="paragraph" w:customStyle="1" w:styleId="Subhead1">
    <w:name w:val="Sub head 1"/>
    <w:basedOn w:val="Normal"/>
    <w:uiPriority w:val="99"/>
    <w:rsid w:val="00F647BD"/>
    <w:pPr>
      <w:suppressAutoHyphens/>
      <w:autoSpaceDE w:val="0"/>
      <w:autoSpaceDN w:val="0"/>
      <w:adjustRightInd w:val="0"/>
      <w:spacing w:before="170" w:line="340" w:lineRule="atLeast"/>
      <w:textAlignment w:val="center"/>
    </w:pPr>
    <w:rPr>
      <w:rFonts w:ascii="Arial MT Std" w:hAnsi="Arial MT Std" w:cs="Arial MT Std"/>
      <w:b/>
      <w:bCs/>
      <w:color w:val="006D00"/>
      <w:sz w:val="30"/>
      <w:szCs w:val="30"/>
      <w:lang w:val="en-GB"/>
    </w:rPr>
  </w:style>
  <w:style w:type="paragraph" w:customStyle="1" w:styleId="Subhead2">
    <w:name w:val="Sub head 2"/>
    <w:basedOn w:val="Normal"/>
    <w:uiPriority w:val="99"/>
    <w:rsid w:val="00F647BD"/>
    <w:pPr>
      <w:suppressAutoHyphens/>
      <w:autoSpaceDE w:val="0"/>
      <w:autoSpaceDN w:val="0"/>
      <w:adjustRightInd w:val="0"/>
      <w:spacing w:before="57" w:after="142" w:line="300" w:lineRule="atLeast"/>
      <w:textAlignment w:val="center"/>
    </w:pPr>
    <w:rPr>
      <w:rFonts w:ascii="Arial MT Std" w:hAnsi="Arial MT Std" w:cs="Arial MT Std"/>
      <w:b/>
      <w:bCs/>
      <w:color w:val="006D00"/>
      <w:sz w:val="26"/>
      <w:szCs w:val="26"/>
      <w:lang w:val="en-GB"/>
    </w:rPr>
  </w:style>
  <w:style w:type="paragraph" w:styleId="Header">
    <w:name w:val="header"/>
    <w:basedOn w:val="Normal"/>
    <w:link w:val="HeaderChar"/>
    <w:uiPriority w:val="99"/>
    <w:semiHidden/>
    <w:rsid w:val="0013662A"/>
    <w:pPr>
      <w:tabs>
        <w:tab w:val="center" w:pos="4513"/>
        <w:tab w:val="right" w:pos="9026"/>
      </w:tabs>
      <w:spacing w:after="0"/>
    </w:pPr>
  </w:style>
  <w:style w:type="character" w:customStyle="1" w:styleId="HeaderChar">
    <w:name w:val="Header Char"/>
    <w:basedOn w:val="DefaultParagraphFont"/>
    <w:link w:val="Header"/>
    <w:uiPriority w:val="99"/>
    <w:semiHidden/>
    <w:rsid w:val="0013662A"/>
    <w:rPr>
      <w:rFonts w:ascii="Arial" w:hAnsi="Arial"/>
      <w:sz w:val="24"/>
    </w:rPr>
  </w:style>
  <w:style w:type="paragraph" w:styleId="Footer">
    <w:name w:val="footer"/>
    <w:basedOn w:val="Normal"/>
    <w:link w:val="FooterChar"/>
    <w:uiPriority w:val="99"/>
    <w:semiHidden/>
    <w:rsid w:val="0013662A"/>
    <w:pPr>
      <w:tabs>
        <w:tab w:val="center" w:pos="4513"/>
        <w:tab w:val="right" w:pos="9026"/>
      </w:tabs>
      <w:spacing w:after="0"/>
    </w:pPr>
  </w:style>
  <w:style w:type="character" w:customStyle="1" w:styleId="FooterChar">
    <w:name w:val="Footer Char"/>
    <w:basedOn w:val="DefaultParagraphFont"/>
    <w:link w:val="Footer"/>
    <w:uiPriority w:val="99"/>
    <w:semiHidden/>
    <w:rsid w:val="0013662A"/>
    <w:rPr>
      <w:rFonts w:ascii="Arial" w:hAnsi="Arial"/>
      <w:sz w:val="24"/>
    </w:rPr>
  </w:style>
  <w:style w:type="paragraph" w:customStyle="1" w:styleId="TEXT">
    <w:name w:val="TEXT"/>
    <w:basedOn w:val="Normal"/>
    <w:uiPriority w:val="99"/>
    <w:rsid w:val="009B0844"/>
    <w:pPr>
      <w:widowControl w:val="0"/>
      <w:suppressAutoHyphens/>
      <w:autoSpaceDE w:val="0"/>
      <w:autoSpaceDN w:val="0"/>
      <w:adjustRightInd w:val="0"/>
      <w:spacing w:after="113" w:line="280" w:lineRule="atLeast"/>
      <w:textAlignment w:val="center"/>
    </w:pPr>
    <w:rPr>
      <w:rFonts w:ascii="ArialMTStd" w:eastAsia="Calibri" w:hAnsi="ArialMTStd" w:cs="ArialMTStd"/>
      <w:color w:val="000000"/>
      <w:szCs w:val="24"/>
      <w:lang w:val="en-GB"/>
    </w:rPr>
  </w:style>
  <w:style w:type="character" w:styleId="PlaceholderText">
    <w:name w:val="Placeholder Text"/>
    <w:basedOn w:val="DefaultParagraphFont"/>
    <w:uiPriority w:val="99"/>
    <w:semiHidden/>
    <w:rsid w:val="00882643"/>
    <w:rPr>
      <w:color w:val="808080"/>
    </w:rPr>
  </w:style>
  <w:style w:type="character" w:styleId="UnresolvedMention">
    <w:name w:val="Unresolved Mention"/>
    <w:basedOn w:val="DefaultParagraphFont"/>
    <w:uiPriority w:val="99"/>
    <w:semiHidden/>
    <w:unhideWhenUsed/>
    <w:rsid w:val="00824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nomics@health.wa.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nomics@health.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Green PMS 3425 2014">
      <a:dk1>
        <a:sysClr val="windowText" lastClr="000000"/>
      </a:dk1>
      <a:lt1>
        <a:sysClr val="window" lastClr="FFFFFF"/>
      </a:lt1>
      <a:dk2>
        <a:srgbClr val="757477"/>
      </a:dk2>
      <a:lt2>
        <a:srgbClr val="FFFFFF"/>
      </a:lt2>
      <a:accent1>
        <a:srgbClr val="005B38"/>
      </a:accent1>
      <a:accent2>
        <a:srgbClr val="005B38"/>
      </a:accent2>
      <a:accent3>
        <a:srgbClr val="005B38"/>
      </a:accent3>
      <a:accent4>
        <a:srgbClr val="005B38"/>
      </a:accent4>
      <a:accent5>
        <a:srgbClr val="005B38"/>
      </a:accent5>
      <a:accent6>
        <a:srgbClr val="005B38"/>
      </a:accent6>
      <a:hlink>
        <a:srgbClr val="004B8D"/>
      </a:hlink>
      <a:folHlink>
        <a:srgbClr val="6E298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C567C3BFA6894AAF920DB5628AA431" ma:contentTypeVersion="0" ma:contentTypeDescription="Create a new document." ma:contentTypeScope="" ma:versionID="5326472b703cbd9a7ce1e15c750290d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9FC3E-5B82-4B73-9465-6302A6F8EEDE}">
  <ds:schemaRefs>
    <ds:schemaRef ds:uri="http://purl.org/dc/terms/"/>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CE7784F-4A60-4904-B6CB-744EAF550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7EE0F7-A88A-4A9B-8119-F7266419D221}">
  <ds:schemaRefs>
    <ds:schemaRef ds:uri="http://schemas.microsoft.com/sharepoint/v3/contenttype/forms"/>
  </ds:schemaRefs>
</ds:datastoreItem>
</file>

<file path=customXml/itemProps4.xml><?xml version="1.0" encoding="utf-8"?>
<ds:datastoreItem xmlns:ds="http://schemas.openxmlformats.org/officeDocument/2006/customXml" ds:itemID="{82D2814D-09E5-4F00-871A-273899798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Flyer Template</vt:lpstr>
    </vt:vector>
  </TitlesOfParts>
  <Company>WA Health</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 Template</dc:title>
  <dc:creator>Dobson, Steve</dc:creator>
  <cp:keywords>flyer, template, doh</cp:keywords>
  <dc:description>Department of Health's flyer templates for consumers</dc:description>
  <cp:lastModifiedBy>Blackwell, Bridget</cp:lastModifiedBy>
  <cp:revision>3</cp:revision>
  <dcterms:created xsi:type="dcterms:W3CDTF">2021-05-18T01:53:00Z</dcterms:created>
  <dcterms:modified xsi:type="dcterms:W3CDTF">2021-05-18T01:57:00Z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0x0101006FC567C3BFA6894AAF920DB5628AA431</vt:lpwstr>
  </property>
</Properties>
</file>