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07D6" w14:textId="77777777"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97307E8" wp14:editId="228242DD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06EC" w14:textId="19AD2989" w:rsidR="008A1E05" w:rsidRDefault="008A1E05" w:rsidP="008A1E05">
      <w:pPr>
        <w:pStyle w:val="Heading2"/>
      </w:pPr>
      <w:r>
        <w:t>Voluntary assisted dying in Western Australia</w:t>
      </w:r>
    </w:p>
    <w:p w14:paraId="297307D7" w14:textId="0DAD52F4" w:rsidR="00F647BD" w:rsidRPr="008A1E05" w:rsidRDefault="008A1E05" w:rsidP="002E5F5B">
      <w:pPr>
        <w:pStyle w:val="Heading1"/>
      </w:pPr>
      <w:r w:rsidRPr="008A1E05">
        <w:t>Document not currently available</w:t>
      </w:r>
    </w:p>
    <w:p w14:paraId="2958977A" w14:textId="77777777" w:rsidR="008A1E05" w:rsidRDefault="008A1E05" w:rsidP="008A1E05"/>
    <w:p w14:paraId="1B977E25" w14:textId="77777777" w:rsidR="008A1E05" w:rsidRDefault="008A1E05" w:rsidP="008A1E05"/>
    <w:p w14:paraId="2E9FA7A2" w14:textId="77777777" w:rsidR="008A1E05" w:rsidRDefault="008A1E05" w:rsidP="008A1E05"/>
    <w:p w14:paraId="0ADE4FF0" w14:textId="77777777" w:rsidR="008A1E05" w:rsidRDefault="008A1E05" w:rsidP="008A1E05"/>
    <w:p w14:paraId="4E1214C2" w14:textId="3DEEBD3B" w:rsidR="008A1E05" w:rsidRDefault="008A1E05" w:rsidP="008A1E05">
      <w:r>
        <w:t>This document is currently subject to revision.</w:t>
      </w:r>
    </w:p>
    <w:p w14:paraId="4D8C1D77" w14:textId="15B905BC" w:rsidR="008A1E05" w:rsidRDefault="008A1E05" w:rsidP="008A1E05">
      <w:r>
        <w:t xml:space="preserve">Should you have any queries, please contact </w:t>
      </w:r>
      <w:hyperlink r:id="rId13" w:history="1">
        <w:r w:rsidRPr="00767955">
          <w:rPr>
            <w:rStyle w:val="Hyperlink"/>
          </w:rPr>
          <w:t>VADPolicy@health.wa.gov.au</w:t>
        </w:r>
      </w:hyperlink>
      <w:r>
        <w:t xml:space="preserve"> quoting reference “S.106 FAQ”.</w:t>
      </w:r>
    </w:p>
    <w:p w14:paraId="7F18E08B" w14:textId="20922AD7" w:rsidR="008A1E05" w:rsidRPr="008A1E05" w:rsidRDefault="008A1E05" w:rsidP="008A1E05">
      <w:r>
        <w:t>Thank you for your patience.</w:t>
      </w:r>
    </w:p>
    <w:sectPr w:rsidR="008A1E05" w:rsidRPr="008A1E05" w:rsidSect="001C71DE">
      <w:footerReference w:type="default" r:id="rId14"/>
      <w:headerReference w:type="first" r:id="rId15"/>
      <w:footerReference w:type="first" r:id="rId16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07EC" w14:textId="77777777" w:rsidR="0013662A" w:rsidRDefault="0013662A" w:rsidP="0013662A">
      <w:pPr>
        <w:spacing w:after="0"/>
      </w:pPr>
      <w:r>
        <w:separator/>
      </w:r>
    </w:p>
  </w:endnote>
  <w:endnote w:type="continuationSeparator" w:id="0">
    <w:p w14:paraId="297307ED" w14:textId="77777777"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07EE" w14:textId="77777777"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A56450">
      <w:rPr>
        <w:b/>
      </w:rPr>
      <w:br/>
      <w:t xml:space="preserve">on request for a person with </w:t>
    </w:r>
    <w:r w:rsidRPr="00AF7C07">
      <w:rPr>
        <w:b/>
      </w:rPr>
      <w:t>disability.</w:t>
    </w:r>
  </w:p>
  <w:p w14:paraId="297307EF" w14:textId="77777777" w:rsidR="009B0844" w:rsidRDefault="009B0844" w:rsidP="009B0844">
    <w:pPr>
      <w:spacing w:after="300"/>
      <w:ind w:right="-1"/>
    </w:pPr>
    <w:r>
      <w:t>© Department of Health 201</w:t>
    </w:r>
    <w:r w:rsidR="00C00AEC">
      <w:t>8</w:t>
    </w:r>
  </w:p>
  <w:p w14:paraId="297307F0" w14:textId="77777777"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14:paraId="297307F1" w14:textId="77777777" w:rsidR="00521D1A" w:rsidRPr="00483052" w:rsidRDefault="000244A9" w:rsidP="00483052">
    <w:pPr>
      <w:pStyle w:val="TEXT"/>
      <w:spacing w:line="240" w:lineRule="auto"/>
      <w:rPr>
        <w:rFonts w:ascii="Arial" w:hAnsi="Arial"/>
        <w:color w:val="5A2476" w:themeColor="accent1"/>
        <w:sz w:val="28"/>
        <w:szCs w:val="28"/>
      </w:rPr>
    </w:pPr>
    <w:r w:rsidRPr="00483052">
      <w:rPr>
        <w:rFonts w:ascii="Arial" w:hAnsi="Arial"/>
        <w:color w:val="5A2476" w:themeColor="accent1"/>
        <w:sz w:val="28"/>
        <w:szCs w:val="28"/>
      </w:rPr>
      <w:t>health.wa.gov.au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07F3" w14:textId="77777777" w:rsidR="0013662A" w:rsidRPr="00232283" w:rsidRDefault="0013662A" w:rsidP="00232283">
    <w:pPr>
      <w:spacing w:after="240"/>
      <w:rPr>
        <w:b/>
        <w:color w:val="5A2476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07EA" w14:textId="77777777" w:rsidR="0013662A" w:rsidRDefault="0013662A" w:rsidP="0013662A">
      <w:pPr>
        <w:spacing w:after="0"/>
      </w:pPr>
      <w:r>
        <w:separator/>
      </w:r>
    </w:p>
  </w:footnote>
  <w:footnote w:type="continuationSeparator" w:id="0">
    <w:p w14:paraId="297307EB" w14:textId="77777777"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07F2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97307F4" wp14:editId="297307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1999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A2476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C71DE"/>
    <w:rsid w:val="001C7D1F"/>
    <w:rsid w:val="001F6030"/>
    <w:rsid w:val="001F68E9"/>
    <w:rsid w:val="00220E8F"/>
    <w:rsid w:val="00232283"/>
    <w:rsid w:val="002C7D7D"/>
    <w:rsid w:val="002E5F5B"/>
    <w:rsid w:val="00355004"/>
    <w:rsid w:val="00385ECE"/>
    <w:rsid w:val="003929E7"/>
    <w:rsid w:val="00466DB9"/>
    <w:rsid w:val="00471692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F1E2D"/>
    <w:rsid w:val="006F52D0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97837"/>
    <w:rsid w:val="008A1E05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56450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00AEC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7307D6"/>
  <w15:docId w15:val="{54296273-1AE3-42A8-91D5-AC29891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5A2476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5A2476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5A2476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4E5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5A2476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5A2476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5A2476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4E56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431B58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A2476" w:themeColor="accent1"/>
          <w:left w:val="nil"/>
          <w:bottom w:val="single" w:sz="8" w:space="0" w:color="5A24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2476" w:themeColor="accent1"/>
          <w:left w:val="nil"/>
          <w:bottom w:val="single" w:sz="8" w:space="0" w:color="5A24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B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5A2476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A2476" w:themeColor="accent1"/>
        <w:left w:val="single" w:sz="8" w:space="0" w:color="5A2476" w:themeColor="accent1"/>
        <w:bottom w:val="single" w:sz="8" w:space="0" w:color="5A2476" w:themeColor="accent1"/>
        <w:right w:val="single" w:sz="8" w:space="0" w:color="5A24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24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band1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31B58" w:themeColor="accent1" w:themeShade="BF"/>
    </w:rPr>
    <w:tblPr>
      <w:tblStyleRowBandSize w:val="1"/>
      <w:tblStyleColBandSize w:val="1"/>
      <w:tblBorders>
        <w:top w:val="single" w:sz="8" w:space="0" w:color="5A2476" w:themeColor="accent1"/>
        <w:bottom w:val="single" w:sz="8" w:space="0" w:color="5A24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2476" w:themeColor="accent1"/>
          <w:left w:val="nil"/>
          <w:bottom w:val="single" w:sz="8" w:space="0" w:color="5A24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2476" w:themeColor="accent1"/>
          <w:left w:val="nil"/>
          <w:bottom w:val="single" w:sz="8" w:space="0" w:color="5A24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B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BBEA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A24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band1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A2476" w:themeColor="accent1"/>
        <w:left w:val="single" w:sz="8" w:space="0" w:color="5A2476" w:themeColor="accent1"/>
        <w:bottom w:val="single" w:sz="8" w:space="0" w:color="5A2476" w:themeColor="accent1"/>
        <w:right w:val="single" w:sz="8" w:space="0" w:color="5A2476" w:themeColor="accent1"/>
        <w:insideH w:val="single" w:sz="8" w:space="0" w:color="5A2476" w:themeColor="accent1"/>
        <w:insideV w:val="single" w:sz="8" w:space="0" w:color="5A24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18" w:space="0" w:color="5A2476" w:themeColor="accent1"/>
          <w:right w:val="single" w:sz="8" w:space="0" w:color="5A2476" w:themeColor="accent1"/>
          <w:insideH w:val="nil"/>
          <w:insideV w:val="single" w:sz="8" w:space="0" w:color="5A24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H w:val="nil"/>
          <w:insideV w:val="single" w:sz="8" w:space="0" w:color="5A24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band1Vert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  <w:shd w:val="clear" w:color="auto" w:fill="DABBEA" w:themeFill="accent1" w:themeFillTint="3F"/>
      </w:tcPr>
    </w:tblStylePr>
    <w:tblStylePr w:type="band1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V w:val="single" w:sz="8" w:space="0" w:color="5A2476" w:themeColor="accent1"/>
        </w:tcBorders>
        <w:shd w:val="clear" w:color="auto" w:fill="DABBEA" w:themeFill="accent1" w:themeFillTint="3F"/>
      </w:tcPr>
    </w:tblStylePr>
    <w:tblStylePr w:type="band2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V w:val="single" w:sz="8" w:space="0" w:color="5A2476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A2476" w:themeColor="accent1"/>
          <w:left w:val="single" w:sz="8" w:space="0" w:color="5A2476" w:themeColor="accent1"/>
          <w:bottom w:val="single" w:sz="18" w:space="0" w:color="5A2476" w:themeColor="accent1"/>
          <w:right w:val="single" w:sz="8" w:space="0" w:color="5A2476" w:themeColor="accent1"/>
          <w:insideH w:val="nil"/>
          <w:insideV w:val="single" w:sz="8" w:space="0" w:color="5A24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H w:val="nil"/>
          <w:insideV w:val="single" w:sz="8" w:space="0" w:color="5A24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</w:tcPr>
    </w:tblStylePr>
    <w:tblStylePr w:type="band1Vert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</w:tcBorders>
        <w:shd w:val="clear" w:color="auto" w:fill="DABBEA" w:themeFill="accent1" w:themeFillTint="3F"/>
      </w:tcPr>
    </w:tblStylePr>
    <w:tblStylePr w:type="band1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V w:val="single" w:sz="8" w:space="0" w:color="5A2476" w:themeColor="accent1"/>
        </w:tcBorders>
        <w:shd w:val="clear" w:color="auto" w:fill="5A2476" w:themeFill="accent2"/>
      </w:tcPr>
    </w:tblStylePr>
    <w:tblStylePr w:type="band2Horz">
      <w:tblPr/>
      <w:tcPr>
        <w:tcBorders>
          <w:top w:val="single" w:sz="8" w:space="0" w:color="5A2476" w:themeColor="accent1"/>
          <w:left w:val="single" w:sz="8" w:space="0" w:color="5A2476" w:themeColor="accent1"/>
          <w:bottom w:val="single" w:sz="8" w:space="0" w:color="5A2476" w:themeColor="accent1"/>
          <w:right w:val="single" w:sz="8" w:space="0" w:color="5A2476" w:themeColor="accent1"/>
          <w:insideV w:val="single" w:sz="8" w:space="0" w:color="5A2476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D39BA" w:themeColor="accent1" w:themeTint="BF"/>
        <w:left w:val="single" w:sz="8" w:space="0" w:color="8D39BA" w:themeColor="accent1" w:themeTint="BF"/>
        <w:bottom w:val="single" w:sz="8" w:space="0" w:color="8D39BA" w:themeColor="accent1" w:themeTint="BF"/>
        <w:right w:val="single" w:sz="8" w:space="0" w:color="8D39BA" w:themeColor="accent1" w:themeTint="BF"/>
        <w:insideH w:val="single" w:sz="8" w:space="0" w:color="8D39B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39BA" w:themeColor="accent1" w:themeTint="BF"/>
          <w:left w:val="single" w:sz="8" w:space="0" w:color="8D39BA" w:themeColor="accent1" w:themeTint="BF"/>
          <w:bottom w:val="single" w:sz="8" w:space="0" w:color="8D39BA" w:themeColor="accent1" w:themeTint="BF"/>
          <w:right w:val="single" w:sz="8" w:space="0" w:color="8D39BA" w:themeColor="accent1" w:themeTint="BF"/>
          <w:insideH w:val="nil"/>
          <w:insideV w:val="nil"/>
        </w:tcBorders>
        <w:shd w:val="clear" w:color="auto" w:fill="5A24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9BA" w:themeColor="accent1" w:themeTint="BF"/>
          <w:left w:val="single" w:sz="8" w:space="0" w:color="8D39BA" w:themeColor="accent1" w:themeTint="BF"/>
          <w:bottom w:val="single" w:sz="8" w:space="0" w:color="8D39BA" w:themeColor="accent1" w:themeTint="BF"/>
          <w:right w:val="single" w:sz="8" w:space="0" w:color="8D39B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BB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BB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D39BA" w:themeColor="accent1" w:themeTint="BF"/>
          <w:left w:val="single" w:sz="8" w:space="0" w:color="8D39BA" w:themeColor="accent1" w:themeTint="BF"/>
          <w:bottom w:val="single" w:sz="8" w:space="0" w:color="8D39BA" w:themeColor="accent1" w:themeTint="BF"/>
          <w:right w:val="single" w:sz="8" w:space="0" w:color="8D39BA" w:themeColor="accent1" w:themeTint="BF"/>
          <w:insideH w:val="nil"/>
          <w:insideV w:val="nil"/>
        </w:tcBorders>
        <w:shd w:val="clear" w:color="auto" w:fill="5A24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9BA" w:themeColor="accent1" w:themeTint="BF"/>
          <w:left w:val="single" w:sz="8" w:space="0" w:color="8D39BA" w:themeColor="accent1" w:themeTint="BF"/>
          <w:bottom w:val="single" w:sz="8" w:space="0" w:color="8D39BA" w:themeColor="accent1" w:themeTint="BF"/>
          <w:right w:val="single" w:sz="8" w:space="0" w:color="8D39B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BB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5A2476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2476" w:themeColor="accent1"/>
        <w:bottom w:val="single" w:sz="8" w:space="0" w:color="5A24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2476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5A2476" w:themeColor="accent1"/>
          <w:bottom w:val="single" w:sz="8" w:space="0" w:color="5A24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2476" w:themeColor="accent1"/>
          <w:bottom w:val="single" w:sz="8" w:space="0" w:color="5A2476" w:themeColor="accent1"/>
        </w:tcBorders>
      </w:tcPr>
    </w:tblStylePr>
    <w:tblStylePr w:type="band1Vert">
      <w:tblPr/>
      <w:tcPr>
        <w:shd w:val="clear" w:color="auto" w:fill="DABBEA" w:themeFill="accent1" w:themeFillTint="3F"/>
      </w:tcPr>
    </w:tblStylePr>
    <w:tblStylePr w:type="band1Horz">
      <w:tblPr/>
      <w:tcPr>
        <w:shd w:val="clear" w:color="auto" w:fill="DABBEA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A2476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5A2476" w:themeColor="accent1"/>
          <w:bottom w:val="single" w:sz="8" w:space="0" w:color="5A24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2476" w:themeColor="accent1"/>
          <w:bottom w:val="single" w:sz="8" w:space="0" w:color="5A2476" w:themeColor="accent1"/>
        </w:tcBorders>
      </w:tcPr>
    </w:tblStylePr>
    <w:tblStylePr w:type="band1Vert">
      <w:tblPr/>
      <w:tcPr>
        <w:shd w:val="clear" w:color="auto" w:fill="DABBEA" w:themeFill="accent1" w:themeFillTint="3F"/>
      </w:tcPr>
    </w:tblStylePr>
    <w:tblStylePr w:type="band1Horz">
      <w:tblPr/>
      <w:tcPr>
        <w:shd w:val="clear" w:color="auto" w:fill="5A2476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A24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24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24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24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B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5A2476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2476" w:themeColor="accent1"/>
        <w:left w:val="single" w:sz="8" w:space="0" w:color="5A2476" w:themeColor="accent1"/>
        <w:bottom w:val="single" w:sz="8" w:space="0" w:color="5A2476" w:themeColor="accent1"/>
        <w:right w:val="single" w:sz="8" w:space="0" w:color="5A24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24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24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24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24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B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BB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DPolicy@health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Purple PMS 2603 2014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5A2476"/>
      </a:accent1>
      <a:accent2>
        <a:srgbClr val="5A2476"/>
      </a:accent2>
      <a:accent3>
        <a:srgbClr val="5A2476"/>
      </a:accent3>
      <a:accent4>
        <a:srgbClr val="5A2476"/>
      </a:accent4>
      <a:accent5>
        <a:srgbClr val="5A2476"/>
      </a:accent5>
      <a:accent6>
        <a:srgbClr val="393C71"/>
      </a:accent6>
      <a:hlink>
        <a:srgbClr val="095489"/>
      </a:hlink>
      <a:folHlink>
        <a:srgbClr val="09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1" ma:contentTypeDescription="Create a new document." ma:contentTypeScope="" ma:versionID="9efded8bede4c3b4c001f090af5fe9d1">
  <xsd:schema xmlns:xsd="http://www.w3.org/2001/XMLSchema" xmlns:xs="http://www.w3.org/2001/XMLSchema" xmlns:p="http://schemas.microsoft.com/office/2006/metadata/properties" xmlns:ns2="c28d392b-250a-46f9-9c6d-396c4cbcde04" targetNamespace="http://schemas.microsoft.com/office/2006/metadata/properties" ma:root="true" ma:fieldsID="0b4df292ba137bac79064bc43b45887b" ns2:_="">
    <xsd:import namespace="c28d392b-250a-46f9-9c6d-396c4cbcd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392b-250a-46f9-9c6d-396c4cbcd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8d392b-250a-46f9-9c6d-396c4cbcde04">QE4PUQ6XCENJ-171-53</_dlc_DocId>
    <_dlc_DocIdUrl xmlns="c28d392b-250a-46f9-9c6d-396c4cbcde04">
      <Url>https://doh-healthpoint.hdwa.health.wa.gov.au/directory/OfficeOfTheDirectorGeneral/Communications/_layouts/DocIdRedir.aspx?ID=QE4PUQ6XCENJ-171-53</Url>
      <Description>QE4PUQ6XCENJ-171-53</Description>
    </_dlc_DocIdUrl>
  </documentManagement>
</p:properties>
</file>

<file path=customXml/itemProps1.xml><?xml version="1.0" encoding="utf-8"?>
<ds:datastoreItem xmlns:ds="http://schemas.openxmlformats.org/officeDocument/2006/customXml" ds:itemID="{D1BDE72C-EB75-4818-A993-9D257E35B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DA246-F9CA-45A7-AA54-D0E62542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d392b-250a-46f9-9c6d-396c4cbcd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D6702-5E62-4E4C-9828-5B21D1012A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EA0B20-E6CF-48A3-B8F6-44E10754A1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5B8D7B-4A18-4592-A660-216DDB46EF01}">
  <ds:schemaRefs>
    <ds:schemaRef ds:uri="http://purl.org/dc/dcmitype/"/>
    <ds:schemaRef ds:uri="http://schemas.openxmlformats.org/package/2006/metadata/core-properties"/>
    <ds:schemaRef ds:uri="c28d392b-250a-46f9-9c6d-396c4cbcde0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Oborn, Lucy</cp:lastModifiedBy>
  <cp:revision>2</cp:revision>
  <dcterms:created xsi:type="dcterms:W3CDTF">2024-05-29T02:35:00Z</dcterms:created>
  <dcterms:modified xsi:type="dcterms:W3CDTF">2024-05-29T02:35:00Z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5d33f34e-fc76-4474-8ced-9d75389ba3b2</vt:lpwstr>
  </property>
  <property fmtid="{D5CDD505-2E9C-101B-9397-08002B2CF9AE}" pid="3" name="ContentTypeId">
    <vt:lpwstr>0x0101006FC567C3BFA6894AAF920DB5628AA431</vt:lpwstr>
  </property>
</Properties>
</file>